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B0813" w:rsidTr="00345119">
        <w:tc>
          <w:tcPr>
            <w:tcW w:w="9576" w:type="dxa"/>
            <w:noWrap/>
          </w:tcPr>
          <w:p w:rsidR="008423E4" w:rsidRPr="0022177D" w:rsidRDefault="007378A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378A4" w:rsidP="008423E4">
      <w:pPr>
        <w:jc w:val="center"/>
      </w:pPr>
    </w:p>
    <w:p w:rsidR="008423E4" w:rsidRPr="00B31F0E" w:rsidRDefault="007378A4" w:rsidP="008423E4"/>
    <w:p w:rsidR="008423E4" w:rsidRPr="00742794" w:rsidRDefault="007378A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B0813" w:rsidTr="00345119">
        <w:tc>
          <w:tcPr>
            <w:tcW w:w="9576" w:type="dxa"/>
          </w:tcPr>
          <w:p w:rsidR="008423E4" w:rsidRPr="00861995" w:rsidRDefault="007378A4" w:rsidP="00345119">
            <w:pPr>
              <w:jc w:val="right"/>
            </w:pPr>
            <w:r>
              <w:t>H.B. 2132</w:t>
            </w:r>
          </w:p>
        </w:tc>
      </w:tr>
      <w:tr w:rsidR="004B0813" w:rsidTr="00345119">
        <w:tc>
          <w:tcPr>
            <w:tcW w:w="9576" w:type="dxa"/>
          </w:tcPr>
          <w:p w:rsidR="008423E4" w:rsidRPr="00861995" w:rsidRDefault="007378A4" w:rsidP="00402B91">
            <w:pPr>
              <w:jc w:val="right"/>
            </w:pPr>
            <w:r>
              <w:t xml:space="preserve">By: </w:t>
            </w:r>
            <w:r>
              <w:t>Klick</w:t>
            </w:r>
          </w:p>
        </w:tc>
      </w:tr>
      <w:tr w:rsidR="004B0813" w:rsidTr="00345119">
        <w:tc>
          <w:tcPr>
            <w:tcW w:w="9576" w:type="dxa"/>
          </w:tcPr>
          <w:p w:rsidR="008423E4" w:rsidRPr="00861995" w:rsidRDefault="007378A4" w:rsidP="00345119">
            <w:pPr>
              <w:jc w:val="right"/>
            </w:pPr>
            <w:r>
              <w:t>Elections</w:t>
            </w:r>
          </w:p>
        </w:tc>
      </w:tr>
      <w:tr w:rsidR="004B0813" w:rsidTr="00345119">
        <w:tc>
          <w:tcPr>
            <w:tcW w:w="9576" w:type="dxa"/>
          </w:tcPr>
          <w:p w:rsidR="008423E4" w:rsidRDefault="007378A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378A4" w:rsidP="008423E4">
      <w:pPr>
        <w:tabs>
          <w:tab w:val="right" w:pos="9360"/>
        </w:tabs>
      </w:pPr>
    </w:p>
    <w:p w:rsidR="008423E4" w:rsidRDefault="007378A4" w:rsidP="008423E4"/>
    <w:p w:rsidR="008423E4" w:rsidRDefault="007378A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B0813" w:rsidTr="00345119">
        <w:tc>
          <w:tcPr>
            <w:tcW w:w="9576" w:type="dxa"/>
          </w:tcPr>
          <w:p w:rsidR="008423E4" w:rsidRPr="00A8133F" w:rsidRDefault="007378A4" w:rsidP="00AF37A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378A4" w:rsidP="00AF37A4"/>
          <w:p w:rsidR="008423E4" w:rsidRDefault="007378A4" w:rsidP="00AF37A4">
            <w:pPr>
              <w:pStyle w:val="Header"/>
              <w:jc w:val="both"/>
            </w:pPr>
            <w:r>
              <w:t>It has been noted that</w:t>
            </w:r>
            <w:r>
              <w:t>,</w:t>
            </w:r>
            <w:r>
              <w:t xml:space="preserve"> despite the requirement that </w:t>
            </w:r>
            <w:r>
              <w:t xml:space="preserve">copies of </w:t>
            </w:r>
            <w:r>
              <w:t xml:space="preserve">certain </w:t>
            </w:r>
            <w:r>
              <w:t xml:space="preserve">statutorily required orders adopted in connection with the administration </w:t>
            </w:r>
            <w:r>
              <w:t>of elections</w:t>
            </w:r>
            <w:r>
              <w:t xml:space="preserve"> be sent to the comptroller of public accounts</w:t>
            </w:r>
            <w:r>
              <w:t xml:space="preserve">, the comptroller is not required to </w:t>
            </w:r>
            <w:r>
              <w:t>retain th</w:t>
            </w:r>
            <w:r>
              <w:t>os</w:t>
            </w:r>
            <w:r>
              <w:t>e copies or use them</w:t>
            </w:r>
            <w:r>
              <w:t>. There have been calls to alleviate the</w:t>
            </w:r>
            <w:r>
              <w:t xml:space="preserve"> administrative burden </w:t>
            </w:r>
            <w:r>
              <w:t xml:space="preserve">on local governments </w:t>
            </w:r>
            <w:r>
              <w:t>associated with this reporting requiremen</w:t>
            </w:r>
            <w:r>
              <w:t>t</w:t>
            </w:r>
            <w:r>
              <w:t xml:space="preserve">. </w:t>
            </w:r>
            <w:r>
              <w:t>H.</w:t>
            </w:r>
            <w:r>
              <w:t xml:space="preserve">B. 2132 seeks to remove the comptroller from </w:t>
            </w:r>
            <w:r>
              <w:t xml:space="preserve">among </w:t>
            </w:r>
            <w:r>
              <w:t xml:space="preserve">the recipients of a </w:t>
            </w:r>
            <w:r w:rsidRPr="00986239">
              <w:t xml:space="preserve">certified copy of </w:t>
            </w:r>
            <w:r>
              <w:t>those</w:t>
            </w:r>
            <w:r w:rsidRPr="00986239">
              <w:t xml:space="preserve"> orders</w:t>
            </w:r>
            <w:r>
              <w:t>.</w:t>
            </w:r>
          </w:p>
          <w:p w:rsidR="008423E4" w:rsidRPr="00E26B13" w:rsidRDefault="007378A4" w:rsidP="00AF37A4">
            <w:pPr>
              <w:rPr>
                <w:b/>
              </w:rPr>
            </w:pPr>
          </w:p>
        </w:tc>
      </w:tr>
      <w:tr w:rsidR="004B0813" w:rsidTr="00345119">
        <w:tc>
          <w:tcPr>
            <w:tcW w:w="9576" w:type="dxa"/>
          </w:tcPr>
          <w:p w:rsidR="0017725B" w:rsidRDefault="007378A4" w:rsidP="00AF37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378A4" w:rsidP="00AF37A4">
            <w:pPr>
              <w:rPr>
                <w:b/>
                <w:u w:val="single"/>
              </w:rPr>
            </w:pPr>
          </w:p>
          <w:p w:rsidR="008F5CC3" w:rsidRPr="008F5CC3" w:rsidRDefault="007378A4" w:rsidP="00AF37A4">
            <w:pPr>
              <w:jc w:val="both"/>
            </w:pPr>
            <w:r>
              <w:t>It is the committee's opinion that this bill does not expressly create a criminal offense, increase the punishment for an exis</w:t>
            </w:r>
            <w:r>
              <w:t>ting criminal offense or category of offenses, or change the eligibility of a person for community supervision, parole, or mandatory supervision.</w:t>
            </w:r>
          </w:p>
          <w:p w:rsidR="0017725B" w:rsidRPr="0017725B" w:rsidRDefault="007378A4" w:rsidP="00AF37A4">
            <w:pPr>
              <w:rPr>
                <w:b/>
                <w:u w:val="single"/>
              </w:rPr>
            </w:pPr>
          </w:p>
        </w:tc>
      </w:tr>
      <w:tr w:rsidR="004B0813" w:rsidTr="00345119">
        <w:tc>
          <w:tcPr>
            <w:tcW w:w="9576" w:type="dxa"/>
          </w:tcPr>
          <w:p w:rsidR="008423E4" w:rsidRPr="00A8133F" w:rsidRDefault="007378A4" w:rsidP="00AF37A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378A4" w:rsidP="00AF37A4"/>
          <w:p w:rsidR="008F5CC3" w:rsidRDefault="007378A4" w:rsidP="00AF37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7378A4" w:rsidP="00AF37A4">
            <w:pPr>
              <w:rPr>
                <w:b/>
              </w:rPr>
            </w:pPr>
          </w:p>
        </w:tc>
      </w:tr>
      <w:tr w:rsidR="004B0813" w:rsidTr="00345119">
        <w:tc>
          <w:tcPr>
            <w:tcW w:w="9576" w:type="dxa"/>
          </w:tcPr>
          <w:p w:rsidR="008423E4" w:rsidRPr="00A8133F" w:rsidRDefault="007378A4" w:rsidP="00AF37A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378A4" w:rsidP="00AF37A4"/>
          <w:p w:rsidR="00BE3852" w:rsidRDefault="007378A4" w:rsidP="00AF37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2132 amends the Election Code to remove the comptroller of public accounts </w:t>
            </w:r>
            <w:r>
              <w:t xml:space="preserve">as a recipient </w:t>
            </w:r>
            <w:r>
              <w:t>of a certified co</w:t>
            </w:r>
            <w:r>
              <w:t>p</w:t>
            </w:r>
            <w:r>
              <w:t xml:space="preserve">y of the following orders: </w:t>
            </w:r>
          </w:p>
          <w:p w:rsidR="00BE3852" w:rsidRDefault="007378A4" w:rsidP="00AF37A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an </w:t>
            </w:r>
            <w:r w:rsidRPr="00C62DEB">
              <w:t xml:space="preserve">order designating the </w:t>
            </w:r>
            <w:r w:rsidRPr="00C62DEB">
              <w:t>county clerk as the voter registrar</w:t>
            </w:r>
            <w:r>
              <w:t>;</w:t>
            </w:r>
          </w:p>
          <w:p w:rsidR="00BE3852" w:rsidRDefault="007378A4" w:rsidP="00AF37A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an order rescinding such a designation order</w:t>
            </w:r>
            <w:r>
              <w:t>;</w:t>
            </w:r>
          </w:p>
          <w:p w:rsidR="00BE3852" w:rsidRDefault="007378A4" w:rsidP="00AF37A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an order creating </w:t>
            </w:r>
            <w:r w:rsidRPr="00C62DEB">
              <w:t xml:space="preserve">the position of county elections administrator for </w:t>
            </w:r>
            <w:r>
              <w:t>a</w:t>
            </w:r>
            <w:r w:rsidRPr="00C62DEB">
              <w:t xml:space="preserve"> county</w:t>
            </w:r>
            <w:r>
              <w:t>;</w:t>
            </w:r>
          </w:p>
          <w:p w:rsidR="00BE3852" w:rsidRDefault="007378A4" w:rsidP="00AF37A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an order abolishing the position </w:t>
            </w:r>
            <w:r w:rsidRPr="00BE3852">
              <w:t>of county elections administrator</w:t>
            </w:r>
            <w:r>
              <w:t>;</w:t>
            </w:r>
          </w:p>
          <w:p w:rsidR="00BE3852" w:rsidRDefault="007378A4" w:rsidP="00AF37A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an order transferring </w:t>
            </w:r>
            <w:r w:rsidRPr="00C62DEB">
              <w:t>to t</w:t>
            </w:r>
            <w:r w:rsidRPr="00C62DEB">
              <w:t>he county tax assessor-collector the duties and functions of the county clerk in connection with the conduct of elections</w:t>
            </w:r>
            <w:r>
              <w:t>;</w:t>
            </w:r>
          </w:p>
          <w:p w:rsidR="00BE3852" w:rsidRDefault="007378A4" w:rsidP="00AF37A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an </w:t>
            </w:r>
            <w:r>
              <w:t>or</w:t>
            </w:r>
            <w:r>
              <w:t>der</w:t>
            </w:r>
            <w:r>
              <w:t xml:space="preserve"> resci</w:t>
            </w:r>
            <w:r>
              <w:t>nding</w:t>
            </w:r>
            <w:r>
              <w:t xml:space="preserve"> </w:t>
            </w:r>
            <w:r>
              <w:t xml:space="preserve">such </w:t>
            </w:r>
            <w:r>
              <w:t>a transfer order</w:t>
            </w:r>
            <w:r>
              <w:t>;</w:t>
            </w:r>
          </w:p>
          <w:p w:rsidR="00BE3852" w:rsidRDefault="007378A4" w:rsidP="00AF37A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an order creating the </w:t>
            </w:r>
            <w:r w:rsidRPr="00C62DEB">
              <w:t>position of joint elections administrator</w:t>
            </w:r>
            <w:r>
              <w:t xml:space="preserve">; </w:t>
            </w:r>
            <w:r>
              <w:t>and</w:t>
            </w:r>
            <w:r>
              <w:t xml:space="preserve"> </w:t>
            </w:r>
          </w:p>
          <w:p w:rsidR="008423E4" w:rsidRDefault="007378A4" w:rsidP="00AF37A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an order abolishing </w:t>
            </w:r>
            <w:r w:rsidRPr="008F5CC3">
              <w:t>the position of joint elections administrator</w:t>
            </w:r>
            <w:r>
              <w:t xml:space="preserve">. </w:t>
            </w:r>
          </w:p>
          <w:p w:rsidR="008423E4" w:rsidRPr="00835628" w:rsidRDefault="007378A4" w:rsidP="00AF37A4">
            <w:pPr>
              <w:rPr>
                <w:b/>
              </w:rPr>
            </w:pPr>
          </w:p>
        </w:tc>
      </w:tr>
      <w:tr w:rsidR="004B0813" w:rsidTr="00345119">
        <w:tc>
          <w:tcPr>
            <w:tcW w:w="9576" w:type="dxa"/>
          </w:tcPr>
          <w:p w:rsidR="008423E4" w:rsidRPr="00A8133F" w:rsidRDefault="007378A4" w:rsidP="00AF37A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378A4" w:rsidP="00AF37A4"/>
          <w:p w:rsidR="008423E4" w:rsidRPr="003624F2" w:rsidRDefault="007378A4" w:rsidP="00AF37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378A4" w:rsidP="00AF37A4">
            <w:pPr>
              <w:rPr>
                <w:b/>
              </w:rPr>
            </w:pPr>
          </w:p>
        </w:tc>
      </w:tr>
    </w:tbl>
    <w:p w:rsidR="008423E4" w:rsidRPr="00BE0E75" w:rsidRDefault="007378A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378A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78A4">
      <w:r>
        <w:separator/>
      </w:r>
    </w:p>
  </w:endnote>
  <w:endnote w:type="continuationSeparator" w:id="0">
    <w:p w:rsidR="00000000" w:rsidRDefault="0073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7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B0813" w:rsidTr="009C1E9A">
      <w:trPr>
        <w:cantSplit/>
      </w:trPr>
      <w:tc>
        <w:tcPr>
          <w:tcW w:w="0" w:type="pct"/>
        </w:tcPr>
        <w:p w:rsidR="00137D90" w:rsidRDefault="007378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378A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378A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378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378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0813" w:rsidTr="009C1E9A">
      <w:trPr>
        <w:cantSplit/>
      </w:trPr>
      <w:tc>
        <w:tcPr>
          <w:tcW w:w="0" w:type="pct"/>
        </w:tcPr>
        <w:p w:rsidR="00EC379B" w:rsidRDefault="007378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378A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19687</w:t>
          </w:r>
        </w:p>
      </w:tc>
      <w:tc>
        <w:tcPr>
          <w:tcW w:w="2453" w:type="pct"/>
        </w:tcPr>
        <w:p w:rsidR="00EC379B" w:rsidRDefault="007378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19.72.688</w:t>
          </w:r>
          <w:r>
            <w:fldChar w:fldCharType="end"/>
          </w:r>
        </w:p>
      </w:tc>
    </w:tr>
    <w:tr w:rsidR="004B0813" w:rsidTr="009C1E9A">
      <w:trPr>
        <w:cantSplit/>
      </w:trPr>
      <w:tc>
        <w:tcPr>
          <w:tcW w:w="0" w:type="pct"/>
        </w:tcPr>
        <w:p w:rsidR="00EC379B" w:rsidRDefault="007378A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378A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378A4" w:rsidP="006D504F">
          <w:pPr>
            <w:pStyle w:val="Footer"/>
            <w:rPr>
              <w:rStyle w:val="PageNumber"/>
            </w:rPr>
          </w:pPr>
        </w:p>
        <w:p w:rsidR="00EC379B" w:rsidRDefault="007378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081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378A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378A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378A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7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78A4">
      <w:r>
        <w:separator/>
      </w:r>
    </w:p>
  </w:footnote>
  <w:footnote w:type="continuationSeparator" w:id="0">
    <w:p w:rsidR="00000000" w:rsidRDefault="00737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7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78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7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A36B9"/>
    <w:multiLevelType w:val="hybridMultilevel"/>
    <w:tmpl w:val="103C1074"/>
    <w:lvl w:ilvl="0" w:tplc="4CE44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A0C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FAD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2E3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D275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705C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246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84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8C3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66ABA"/>
    <w:multiLevelType w:val="hybridMultilevel"/>
    <w:tmpl w:val="6C9AEC7C"/>
    <w:lvl w:ilvl="0" w:tplc="34DA0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94AE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20D6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2A5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22C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B8D4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00F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EF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625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13"/>
    <w:rsid w:val="004B0813"/>
    <w:rsid w:val="0073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FCB6D3-D5F2-47EF-BC90-9BDAD23B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F5C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5C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5CC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5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5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1575</Characters>
  <Application>Microsoft Office Word</Application>
  <DocSecurity>4</DocSecurity>
  <Lines>50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HB02132 (Committee Report (Unamended))</vt:lpstr>
    </vt:vector>
  </TitlesOfParts>
  <Company>State of Texas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19687</dc:subject>
  <dc:creator>State of Texas</dc:creator>
  <dc:description>HB 2132 by Klick-(H)Elections</dc:description>
  <cp:lastModifiedBy>Laura Ramsay</cp:lastModifiedBy>
  <cp:revision>2</cp:revision>
  <cp:lastPrinted>2003-11-26T17:21:00Z</cp:lastPrinted>
  <dcterms:created xsi:type="dcterms:W3CDTF">2019-03-27T16:45:00Z</dcterms:created>
  <dcterms:modified xsi:type="dcterms:W3CDTF">2019-03-27T16:45:00Z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19.72.688</vt:lpwstr>
  </property>
</Properties>
</file>