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104C" w:rsidTr="00345119">
        <w:tc>
          <w:tcPr>
            <w:tcW w:w="9576" w:type="dxa"/>
            <w:noWrap/>
          </w:tcPr>
          <w:p w:rsidR="008423E4" w:rsidRPr="0022177D" w:rsidRDefault="00F67A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7A39" w:rsidP="008423E4">
      <w:pPr>
        <w:jc w:val="center"/>
      </w:pPr>
    </w:p>
    <w:p w:rsidR="008423E4" w:rsidRPr="00B31F0E" w:rsidRDefault="00F67A39" w:rsidP="008423E4"/>
    <w:p w:rsidR="008423E4" w:rsidRPr="00742794" w:rsidRDefault="00F67A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104C" w:rsidTr="00345119">
        <w:tc>
          <w:tcPr>
            <w:tcW w:w="9576" w:type="dxa"/>
          </w:tcPr>
          <w:p w:rsidR="008423E4" w:rsidRPr="00861995" w:rsidRDefault="00F67A39" w:rsidP="00345119">
            <w:pPr>
              <w:jc w:val="right"/>
            </w:pPr>
            <w:r>
              <w:t>C.S.H.B. 2135</w:t>
            </w:r>
          </w:p>
        </w:tc>
      </w:tr>
      <w:tr w:rsidR="003E104C" w:rsidTr="00345119">
        <w:tc>
          <w:tcPr>
            <w:tcW w:w="9576" w:type="dxa"/>
          </w:tcPr>
          <w:p w:rsidR="008423E4" w:rsidRPr="00861995" w:rsidRDefault="00F67A39" w:rsidP="009D0DDF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3E104C" w:rsidTr="00345119">
        <w:tc>
          <w:tcPr>
            <w:tcW w:w="9576" w:type="dxa"/>
          </w:tcPr>
          <w:p w:rsidR="008423E4" w:rsidRPr="00861995" w:rsidRDefault="00F67A39" w:rsidP="00345119">
            <w:pPr>
              <w:jc w:val="right"/>
            </w:pPr>
            <w:r>
              <w:t>State Affairs</w:t>
            </w:r>
          </w:p>
        </w:tc>
      </w:tr>
      <w:tr w:rsidR="003E104C" w:rsidTr="00345119">
        <w:tc>
          <w:tcPr>
            <w:tcW w:w="9576" w:type="dxa"/>
          </w:tcPr>
          <w:p w:rsidR="008423E4" w:rsidRDefault="00F67A3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67A39" w:rsidP="008423E4">
      <w:pPr>
        <w:tabs>
          <w:tab w:val="right" w:pos="9360"/>
        </w:tabs>
      </w:pPr>
    </w:p>
    <w:p w:rsidR="008423E4" w:rsidRDefault="00F67A39" w:rsidP="008423E4"/>
    <w:p w:rsidR="008423E4" w:rsidRDefault="00F67A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E104C" w:rsidTr="00345119">
        <w:tc>
          <w:tcPr>
            <w:tcW w:w="9576" w:type="dxa"/>
          </w:tcPr>
          <w:p w:rsidR="008423E4" w:rsidRPr="00A8133F" w:rsidRDefault="00F67A39" w:rsidP="008400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7A39" w:rsidP="00840060"/>
          <w:p w:rsidR="008423E4" w:rsidRDefault="00F67A39" w:rsidP="00840060">
            <w:pPr>
              <w:pStyle w:val="Header"/>
              <w:jc w:val="both"/>
            </w:pPr>
            <w:r>
              <w:t xml:space="preserve">Concerns have been raised over </w:t>
            </w:r>
            <w:r>
              <w:t>excessive retainage</w:t>
            </w:r>
            <w:r>
              <w:t>, which</w:t>
            </w:r>
            <w:r>
              <w:t xml:space="preserve"> </w:t>
            </w:r>
            <w:r>
              <w:t xml:space="preserve">is the practice of withholding periodic payments on construction contracts </w:t>
            </w:r>
            <w:r>
              <w:t>for</w:t>
            </w:r>
            <w:r>
              <w:t xml:space="preserve"> release to the contractor at the completion of a project, </w:t>
            </w:r>
            <w:r>
              <w:t>being</w:t>
            </w:r>
            <w:r>
              <w:t xml:space="preserve"> withheld or </w:t>
            </w:r>
            <w:r>
              <w:t xml:space="preserve">remaining </w:t>
            </w:r>
            <w:r>
              <w:t>un</w:t>
            </w:r>
            <w:r>
              <w:t>paid for prolonged periods</w:t>
            </w:r>
            <w:r>
              <w:t xml:space="preserve"> in certain circumstances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2135 </w:t>
            </w:r>
            <w:r>
              <w:t xml:space="preserve">seeks to revise </w:t>
            </w:r>
            <w:r>
              <w:t>retainage</w:t>
            </w:r>
            <w:r>
              <w:t xml:space="preserve"> requirements for certain public works construction projects to </w:t>
            </w:r>
            <w:r>
              <w:t>prevent the</w:t>
            </w:r>
            <w:r>
              <w:t xml:space="preserve"> withholding of retainage </w:t>
            </w:r>
            <w:r>
              <w:t>over</w:t>
            </w:r>
            <w:r>
              <w:t xml:space="preserve"> a specified amount for certain contracts </w:t>
            </w:r>
            <w:r>
              <w:t xml:space="preserve">and </w:t>
            </w:r>
            <w:r>
              <w:t xml:space="preserve">to </w:t>
            </w:r>
            <w:r>
              <w:t>prohibit the misuse of retainage to confer additional liability or free warranty work</w:t>
            </w:r>
            <w:r>
              <w:t xml:space="preserve">, while also </w:t>
            </w:r>
            <w:r>
              <w:t>providing for</w:t>
            </w:r>
            <w:r>
              <w:t xml:space="preserve"> the partial release of retainage to incentivize project completio</w:t>
            </w:r>
            <w:r>
              <w:t>n</w:t>
            </w:r>
            <w:r>
              <w:t xml:space="preserve">. </w:t>
            </w:r>
          </w:p>
          <w:p w:rsidR="008423E4" w:rsidRPr="00E26B13" w:rsidRDefault="00F67A39" w:rsidP="00840060">
            <w:pPr>
              <w:rPr>
                <w:b/>
              </w:rPr>
            </w:pPr>
          </w:p>
        </w:tc>
      </w:tr>
      <w:tr w:rsidR="003E104C" w:rsidTr="00345119">
        <w:tc>
          <w:tcPr>
            <w:tcW w:w="9576" w:type="dxa"/>
          </w:tcPr>
          <w:p w:rsidR="0017725B" w:rsidRDefault="00F67A39" w:rsidP="008400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7A39" w:rsidP="00840060">
            <w:pPr>
              <w:rPr>
                <w:b/>
                <w:u w:val="single"/>
              </w:rPr>
            </w:pPr>
          </w:p>
          <w:p w:rsidR="004A2246" w:rsidRPr="004A2246" w:rsidRDefault="00F67A39" w:rsidP="0084006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F67A39" w:rsidP="00840060">
            <w:pPr>
              <w:rPr>
                <w:b/>
                <w:u w:val="single"/>
              </w:rPr>
            </w:pPr>
          </w:p>
        </w:tc>
      </w:tr>
      <w:tr w:rsidR="003E104C" w:rsidTr="00345119">
        <w:tc>
          <w:tcPr>
            <w:tcW w:w="9576" w:type="dxa"/>
          </w:tcPr>
          <w:p w:rsidR="008423E4" w:rsidRPr="00A8133F" w:rsidRDefault="00F67A39" w:rsidP="008400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7A39" w:rsidP="00840060"/>
          <w:p w:rsidR="004A2246" w:rsidRDefault="00F67A39" w:rsidP="0084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67A39" w:rsidP="00840060">
            <w:pPr>
              <w:rPr>
                <w:b/>
              </w:rPr>
            </w:pPr>
          </w:p>
        </w:tc>
      </w:tr>
      <w:tr w:rsidR="003E104C" w:rsidTr="00345119">
        <w:tc>
          <w:tcPr>
            <w:tcW w:w="9576" w:type="dxa"/>
          </w:tcPr>
          <w:p w:rsidR="008423E4" w:rsidRPr="00A8133F" w:rsidRDefault="00F67A39" w:rsidP="008400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7A39" w:rsidP="00840060"/>
          <w:p w:rsidR="00D26F11" w:rsidRDefault="00F67A39" w:rsidP="0084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>21</w:t>
            </w:r>
            <w:r>
              <w:t>3</w:t>
            </w:r>
            <w:r>
              <w:t xml:space="preserve">5 </w:t>
            </w:r>
            <w:r>
              <w:t>amends the Government Code to</w:t>
            </w:r>
            <w:r>
              <w:t xml:space="preserve"> </w:t>
            </w:r>
            <w:r w:rsidRPr="007E14BB">
              <w:t>require a governmental entity to include in each public works contrac</w:t>
            </w:r>
            <w:r>
              <w:t xml:space="preserve">t a provision that establishes </w:t>
            </w:r>
            <w:r w:rsidRPr="007E14BB">
              <w:t xml:space="preserve">the </w:t>
            </w:r>
            <w:r>
              <w:t>following:</w:t>
            </w:r>
          </w:p>
          <w:p w:rsidR="00D26F11" w:rsidRDefault="00F67A39" w:rsidP="0084006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7E14BB">
              <w:t>circumstances under which</w:t>
            </w:r>
            <w:r>
              <w:t xml:space="preserve"> </w:t>
            </w:r>
            <w:r>
              <w:t>the</w:t>
            </w:r>
            <w:r w:rsidRPr="007E14BB">
              <w:t xml:space="preserve"> </w:t>
            </w:r>
            <w:r w:rsidRPr="007E14BB">
              <w:t>project</w:t>
            </w:r>
            <w:r>
              <w:t xml:space="preserve"> that is the subject of the contract</w:t>
            </w:r>
            <w:r w:rsidRPr="007E14BB">
              <w:t xml:space="preserve"> is co</w:t>
            </w:r>
            <w:r>
              <w:t xml:space="preserve">nsidered substantially </w:t>
            </w:r>
            <w:r>
              <w:t>complet</w:t>
            </w:r>
            <w:r>
              <w:t>e;</w:t>
            </w:r>
            <w:r w:rsidRPr="007E14BB">
              <w:t xml:space="preserve"> and</w:t>
            </w:r>
            <w:r>
              <w:t xml:space="preserve"> </w:t>
            </w:r>
          </w:p>
          <w:p w:rsidR="00FF4D5F" w:rsidRDefault="00F67A39" w:rsidP="0084006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circumstances under which </w:t>
            </w:r>
            <w:r>
              <w:t xml:space="preserve">the </w:t>
            </w:r>
            <w:r w:rsidRPr="001C0359">
              <w:t>entity may release all or a portion of the retainage</w:t>
            </w:r>
            <w:r>
              <w:t xml:space="preserve"> for</w:t>
            </w:r>
            <w:r w:rsidRPr="001C0359">
              <w:t xml:space="preserve"> </w:t>
            </w:r>
            <w:r>
              <w:t>substantially</w:t>
            </w:r>
            <w:r>
              <w:t xml:space="preserve"> completed portions of the project</w:t>
            </w:r>
            <w:r>
              <w:t xml:space="preserve"> or fully completed and accepted portions of the project</w:t>
            </w:r>
            <w:r>
              <w:t xml:space="preserve">. </w:t>
            </w:r>
          </w:p>
          <w:p w:rsidR="00D26F11" w:rsidRDefault="00F67A39" w:rsidP="0084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047BF" w:rsidRDefault="00F67A39" w:rsidP="0084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D0F3E">
              <w:t>C.S.H.B. 2135</w:t>
            </w:r>
            <w:r>
              <w:t xml:space="preserve"> removes a requirement for a governmental entity to deposit in an interest-bearing account the retainage of a public works contract that provides for retainage of more than five percent of the period contract payment. The bill requires a governmental entit</w:t>
            </w:r>
            <w:r>
              <w:t>y to maintain an accurate record of accounting for the retainage withheld on period</w:t>
            </w:r>
            <w:r>
              <w:t>ic</w:t>
            </w:r>
            <w:r>
              <w:t xml:space="preserve"> contract payments and the retainage released to the prime contractor for a public works contract.</w:t>
            </w:r>
            <w:r w:rsidRPr="006D0F3E">
              <w:t xml:space="preserve"> </w:t>
            </w:r>
          </w:p>
          <w:p w:rsidR="002047BF" w:rsidRDefault="00F67A39" w:rsidP="0084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047BF" w:rsidRDefault="00F67A39" w:rsidP="0084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>2135</w:t>
            </w:r>
            <w:r>
              <w:t xml:space="preserve"> p</w:t>
            </w:r>
            <w:r>
              <w:t xml:space="preserve">rohibits a governmental entity that enters into </w:t>
            </w:r>
            <w:r>
              <w:t>a publi</w:t>
            </w:r>
            <w:r>
              <w:t>c works con</w:t>
            </w:r>
            <w:r>
              <w:t xml:space="preserve">tract with </w:t>
            </w:r>
            <w:r>
              <w:t>a</w:t>
            </w:r>
            <w:r>
              <w:t xml:space="preserve"> total value of </w:t>
            </w:r>
            <w:r>
              <w:t>$1 million or more from withholding retainage in an amount that exceeds</w:t>
            </w:r>
            <w:r>
              <w:t xml:space="preserve"> </w:t>
            </w:r>
            <w:r>
              <w:t>five percent of the contract price</w:t>
            </w:r>
            <w:r>
              <w:t xml:space="preserve"> and prohibits </w:t>
            </w:r>
            <w:r>
              <w:t>the rate of retainage</w:t>
            </w:r>
            <w:r>
              <w:t xml:space="preserve"> from exceeding five percent</w:t>
            </w:r>
            <w:r>
              <w:t xml:space="preserve"> for</w:t>
            </w:r>
            <w:r>
              <w:t xml:space="preserve"> any item in</w:t>
            </w:r>
            <w:r>
              <w:t xml:space="preserve"> a bid</w:t>
            </w:r>
            <w:r>
              <w:t xml:space="preserve"> schedule</w:t>
            </w:r>
            <w:r>
              <w:t xml:space="preserve"> or schedule</w:t>
            </w:r>
            <w:r>
              <w:t xml:space="preserve"> of </w:t>
            </w:r>
            <w:r>
              <w:t>values for the project, including</w:t>
            </w:r>
            <w:r>
              <w:t xml:space="preserve"> materials and equipment delivered on-site to be installe</w:t>
            </w:r>
            <w:r>
              <w:t>d</w:t>
            </w:r>
            <w:r>
              <w:t>.</w:t>
            </w:r>
            <w:r>
              <w:t xml:space="preserve"> </w:t>
            </w:r>
            <w:r>
              <w:t>The bill prohibits a prime contractor that enters into a subcontract for the purpose of fulfilling an obligation under such a contract from withholding from a subc</w:t>
            </w:r>
            <w:r>
              <w:t>ontractor a greater percentage of retainage than the percentage that may be withheld from the prime contractor by the governmental entity. If the subcontractor enters into a contract with another subcontractor to provide labor or materials under the contra</w:t>
            </w:r>
            <w:r>
              <w:t>ct, the subcontractor may not withhold from that subcontractor a greater percentage of retainage than the percentage that may be withheld from the subcontractor by the prime contractor.</w:t>
            </w:r>
          </w:p>
          <w:p w:rsidR="002047BF" w:rsidRDefault="00F67A39" w:rsidP="0084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0449C" w:rsidRDefault="00F67A39" w:rsidP="0084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2135</w:t>
            </w:r>
            <w:r>
              <w:t xml:space="preserve"> authorizes a governmental entity and prime contractor, </w:t>
            </w:r>
            <w:r>
              <w:t>for a competitively awarded contract with a value of $10 million or more, and for a contract that was awarded using a method other than competitive bidding, to agree to deposit in an interest-bearing account the retainage withheld on periodic contract paym</w:t>
            </w:r>
            <w:r>
              <w:t>ents.</w:t>
            </w:r>
            <w:r>
              <w:t xml:space="preserve"> The bill</w:t>
            </w:r>
            <w:r w:rsidRPr="006D0F3E">
              <w:t xml:space="preserve"> requires </w:t>
            </w:r>
            <w:r>
              <w:t>the</w:t>
            </w:r>
            <w:r w:rsidRPr="006D0F3E">
              <w:t xml:space="preserve"> governmental entity to pay </w:t>
            </w:r>
            <w:r>
              <w:t>any</w:t>
            </w:r>
            <w:r w:rsidRPr="006D0F3E">
              <w:t xml:space="preserve"> remaining retainage </w:t>
            </w:r>
            <w:r>
              <w:t xml:space="preserve">withheld on the payments and the interest earned on the retainage </w:t>
            </w:r>
            <w:r w:rsidRPr="006D0F3E">
              <w:t xml:space="preserve">to the </w:t>
            </w:r>
            <w:r>
              <w:t xml:space="preserve">prime </w:t>
            </w:r>
            <w:r w:rsidRPr="006D0F3E">
              <w:t>contractor on completion of the contract.</w:t>
            </w:r>
          </w:p>
          <w:p w:rsidR="00D26F11" w:rsidRDefault="00F67A39" w:rsidP="0084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D031B" w:rsidRDefault="00F67A39" w:rsidP="0084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2135</w:t>
            </w:r>
            <w:r w:rsidRPr="00D7737C">
              <w:t xml:space="preserve"> prohibits a governmental entity from withholding retainage after completion of </w:t>
            </w:r>
            <w:r>
              <w:t xml:space="preserve">a public works contract by the </w:t>
            </w:r>
            <w:r w:rsidRPr="00D7737C">
              <w:t>prime c</w:t>
            </w:r>
            <w:r>
              <w:t>ontractor</w:t>
            </w:r>
            <w:r w:rsidRPr="00D7737C">
              <w:t xml:space="preserve"> or for the purpose of requiring the prime contractor, after completion of the contract, to perform work on manufactured goods or</w:t>
            </w:r>
            <w:r w:rsidRPr="00D7737C">
              <w:t xml:space="preserve"> systems that were specified by the designer of record and properly installed by the contractor.</w:t>
            </w:r>
            <w:r>
              <w:t xml:space="preserve"> The</w:t>
            </w:r>
            <w:r>
              <w:t xml:space="preserve"> </w:t>
            </w:r>
            <w:r>
              <w:t xml:space="preserve">bill </w:t>
            </w:r>
            <w:r>
              <w:t xml:space="preserve">authorizes </w:t>
            </w:r>
            <w:r>
              <w:t>a</w:t>
            </w:r>
            <w:r>
              <w:t xml:space="preserve"> governmental entity, on application to </w:t>
            </w:r>
            <w:r>
              <w:t xml:space="preserve">the </w:t>
            </w:r>
            <w:r>
              <w:t xml:space="preserve">entity for final payment and release of retainage, to withhold retainage if there is a bona fide dispute between the entity and the prime contractor and the reason for the dispute is that </w:t>
            </w:r>
            <w:r w:rsidRPr="00BA53F4">
              <w:t>labor, services, or materials provided by the prime contractor or th</w:t>
            </w:r>
            <w:r w:rsidRPr="00BA53F4">
              <w:t>e prime contractor's subcontractors were not provided in compliance with the contract.</w:t>
            </w:r>
            <w:r>
              <w:t xml:space="preserve"> The</w:t>
            </w:r>
            <w:r>
              <w:t xml:space="preserve"> bill establishes that the</w:t>
            </w:r>
            <w:r>
              <w:t xml:space="preserve"> prime contractor </w:t>
            </w:r>
            <w:r>
              <w:t xml:space="preserve">may be </w:t>
            </w:r>
            <w:r>
              <w:t>entitled to cure the noncompliance of the labor, services, or materials that are the subject of the dispute or offe</w:t>
            </w:r>
            <w:r>
              <w:t xml:space="preserve">r the governmental entity a reasonable amount of money as compensation for the noncompliant labor, services, or materials that cannot be promptly cured. </w:t>
            </w:r>
          </w:p>
          <w:p w:rsidR="008423E4" w:rsidRPr="00835628" w:rsidRDefault="00F67A39" w:rsidP="00840060">
            <w:pPr>
              <w:rPr>
                <w:b/>
              </w:rPr>
            </w:pPr>
          </w:p>
        </w:tc>
      </w:tr>
      <w:tr w:rsidR="003E104C" w:rsidTr="00345119">
        <w:tc>
          <w:tcPr>
            <w:tcW w:w="9576" w:type="dxa"/>
          </w:tcPr>
          <w:p w:rsidR="008423E4" w:rsidRPr="00A8133F" w:rsidRDefault="00F67A39" w:rsidP="008400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7A39" w:rsidP="00840060"/>
          <w:p w:rsidR="008423E4" w:rsidRPr="003624F2" w:rsidRDefault="00F67A39" w:rsidP="008400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67A39" w:rsidP="00840060">
            <w:pPr>
              <w:rPr>
                <w:b/>
              </w:rPr>
            </w:pPr>
          </w:p>
        </w:tc>
      </w:tr>
      <w:tr w:rsidR="003E104C" w:rsidTr="00345119">
        <w:tc>
          <w:tcPr>
            <w:tcW w:w="9576" w:type="dxa"/>
          </w:tcPr>
          <w:p w:rsidR="009D0DDF" w:rsidRDefault="00F67A39" w:rsidP="0084006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F5FA5" w:rsidRDefault="00F67A39" w:rsidP="00840060">
            <w:pPr>
              <w:jc w:val="both"/>
            </w:pPr>
          </w:p>
          <w:p w:rsidR="00FF5FA5" w:rsidRDefault="00F67A39" w:rsidP="00840060">
            <w:pPr>
              <w:jc w:val="both"/>
            </w:pPr>
            <w:r>
              <w:t>While C.S.H.B. 2135 may differ from the original in minor or nonsubstantive ways, the following summarizes the substantial differences between the introduced and committee substitute versions of the bill.</w:t>
            </w:r>
          </w:p>
          <w:p w:rsidR="00FF5FA5" w:rsidRDefault="00F67A39" w:rsidP="00840060">
            <w:pPr>
              <w:jc w:val="both"/>
            </w:pPr>
          </w:p>
          <w:p w:rsidR="00FF5FA5" w:rsidRDefault="00F67A39" w:rsidP="00840060">
            <w:pPr>
              <w:jc w:val="both"/>
            </w:pPr>
            <w:r>
              <w:t>The subs</w:t>
            </w:r>
            <w:r>
              <w:t>titute includes the following:</w:t>
            </w:r>
          </w:p>
          <w:p w:rsidR="00FF5FA5" w:rsidRDefault="00F67A39" w:rsidP="00840060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a requirement for a public works contract to include a provision establishing the circumstances under which the governmental entity may release all or a portion of the retainage </w:t>
            </w:r>
            <w:r>
              <w:t xml:space="preserve">for </w:t>
            </w:r>
            <w:r>
              <w:t>substantial</w:t>
            </w:r>
            <w:r>
              <w:t>ly</w:t>
            </w:r>
            <w:r>
              <w:t xml:space="preserve"> completed portions of the pro</w:t>
            </w:r>
            <w:r>
              <w:t>ject</w:t>
            </w:r>
            <w:r>
              <w:t xml:space="preserve"> or fully completed and accepted portions of the project</w:t>
            </w:r>
            <w:r>
              <w:t>;</w:t>
            </w:r>
          </w:p>
          <w:p w:rsidR="00B061B0" w:rsidRDefault="00F67A39" w:rsidP="00840060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a requirement for a governmental entity to maintain an accurate record of accounting for the retainage withheld </w:t>
            </w:r>
            <w:r>
              <w:t>on</w:t>
            </w:r>
            <w:r>
              <w:t xml:space="preserve"> periodic contract payments and the retainage released to the prime contractor f</w:t>
            </w:r>
            <w:r>
              <w:t>or a public works contract;</w:t>
            </w:r>
          </w:p>
          <w:p w:rsidR="00B061B0" w:rsidRDefault="00F67A39" w:rsidP="00840060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a prohibition against the rate of retainage for a public works contract with a total value of $1 million or more from </w:t>
            </w:r>
            <w:r>
              <w:t>exce</w:t>
            </w:r>
            <w:r>
              <w:t>eding five percent for any item in a bid schedule or schedule of values for the project</w:t>
            </w:r>
            <w:r>
              <w:t>;</w:t>
            </w:r>
          </w:p>
          <w:p w:rsidR="00FF5FA5" w:rsidRDefault="00F67A39" w:rsidP="00840060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an authorization</w:t>
            </w:r>
            <w:r>
              <w:t xml:space="preserve"> for a governmental entity and prime contractor, for </w:t>
            </w:r>
            <w:r>
              <w:t>certain contracts</w:t>
            </w:r>
            <w:r>
              <w:t xml:space="preserve"> with a value of $10 million or more</w:t>
            </w:r>
            <w:r>
              <w:t>, to agree to deposit in an interest-bearing account the retainage withheld on periodic contract payments</w:t>
            </w:r>
            <w:r>
              <w:t xml:space="preserve"> and a requirement for the governmental entit</w:t>
            </w:r>
            <w:r>
              <w:t xml:space="preserve">y to pay any remaining </w:t>
            </w:r>
            <w:r>
              <w:t xml:space="preserve">retainage </w:t>
            </w:r>
            <w:r>
              <w:t xml:space="preserve">and interest earned on the retainage to the </w:t>
            </w:r>
            <w:r>
              <w:t xml:space="preserve">prime </w:t>
            </w:r>
            <w:r>
              <w:t>contractor on completion of the contract</w:t>
            </w:r>
            <w:r>
              <w:t>;</w:t>
            </w:r>
          </w:p>
          <w:p w:rsidR="00FF5FA5" w:rsidRPr="00D2489E" w:rsidRDefault="00F67A39" w:rsidP="00840060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a </w:t>
            </w:r>
            <w:r w:rsidRPr="00D2489E">
              <w:t>prohibition against the prime contractor</w:t>
            </w:r>
            <w:r w:rsidRPr="00D2489E">
              <w:t xml:space="preserve"> in a public works contract with a total value of $1 million or more withholding from a subcontractor more than a certain percentage of retainage; and</w:t>
            </w:r>
          </w:p>
          <w:p w:rsidR="00FF5FA5" w:rsidRDefault="00F67A39" w:rsidP="00840060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 w:rsidRPr="00D2489E">
              <w:t>a prohibition against a subcontractor</w:t>
            </w:r>
            <w:r w:rsidRPr="00BB182D">
              <w:t xml:space="preserve"> in </w:t>
            </w:r>
            <w:r w:rsidRPr="003036A9">
              <w:t xml:space="preserve">a public works contract </w:t>
            </w:r>
            <w:r w:rsidRPr="00D2489E">
              <w:t>with a total value of $1 million</w:t>
            </w:r>
            <w:r w:rsidRPr="003036A9">
              <w:t xml:space="preserve"> </w:t>
            </w:r>
            <w:r>
              <w:t>or more</w:t>
            </w:r>
            <w:r>
              <w:t xml:space="preserve"> </w:t>
            </w:r>
            <w:r w:rsidRPr="00BB182D">
              <w:t xml:space="preserve">withholding </w:t>
            </w:r>
            <w:r>
              <w:t xml:space="preserve">from certain other subcontractors </w:t>
            </w:r>
            <w:r w:rsidRPr="00BB182D">
              <w:t>more than a certain percentage of retainage.</w:t>
            </w:r>
          </w:p>
          <w:p w:rsidR="00FF5FA5" w:rsidRDefault="00F67A39" w:rsidP="00840060">
            <w:pPr>
              <w:jc w:val="both"/>
            </w:pPr>
          </w:p>
          <w:p w:rsidR="00FF5FA5" w:rsidRDefault="00F67A39" w:rsidP="00840060">
            <w:pPr>
              <w:jc w:val="both"/>
            </w:pPr>
            <w:r>
              <w:t>The substitute does not include the following:</w:t>
            </w:r>
          </w:p>
          <w:p w:rsidR="00FF5FA5" w:rsidRDefault="00F67A39" w:rsidP="0084006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requirement for a civil works project contract to include a provision establishing the circumstances under which t</w:t>
            </w:r>
            <w:r>
              <w:t>he governmental entity has beneficial use of the project;</w:t>
            </w:r>
          </w:p>
          <w:p w:rsidR="00B90D8A" w:rsidRDefault="00F67A39" w:rsidP="0084006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specific retainage limitations for a civil works project with a value of $1 million or more; </w:t>
            </w:r>
          </w:p>
          <w:p w:rsidR="00FF5FA5" w:rsidRDefault="00F67A39" w:rsidP="00840060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requirement for a governmental entity to deposit in an interest-bearing account the retainage of a per</w:t>
            </w:r>
            <w:r>
              <w:t>iodic contract payment of a public works contract; and</w:t>
            </w:r>
          </w:p>
          <w:p w:rsidR="00FF5FA5" w:rsidRDefault="00F67A39" w:rsidP="00840060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an express disclaimer that the bill's provisions relating to retainage do not prohibit a governmental entity from releasing portions of retainage for substantially complete or fully completed portions </w:t>
            </w:r>
            <w:r>
              <w:t>of work under a public works contract.</w:t>
            </w:r>
          </w:p>
          <w:p w:rsidR="00FF5FA5" w:rsidRDefault="00F67A39" w:rsidP="00840060">
            <w:pPr>
              <w:jc w:val="both"/>
            </w:pPr>
          </w:p>
          <w:p w:rsidR="0087377A" w:rsidRDefault="00F67A39" w:rsidP="00840060">
            <w:pPr>
              <w:jc w:val="both"/>
            </w:pPr>
            <w:r>
              <w:t>The substitute revises provisions relating to the following:</w:t>
            </w:r>
          </w:p>
          <w:p w:rsidR="00BE167F" w:rsidRDefault="00F67A39" w:rsidP="00840060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the amount of retainage that may be withheld with regard to a public works contract with a value of $1 million or more; and</w:t>
            </w:r>
          </w:p>
          <w:p w:rsidR="00B27078" w:rsidRDefault="00F67A39" w:rsidP="00840060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 w:rsidRPr="003036A9">
              <w:t xml:space="preserve">the </w:t>
            </w:r>
            <w:r>
              <w:t>entitlement</w:t>
            </w:r>
            <w:r w:rsidRPr="003036A9">
              <w:t xml:space="preserve"> of a contractor to cure certain noncompliance or offer compensation </w:t>
            </w:r>
            <w:r w:rsidRPr="0047575C">
              <w:t>in circumstance</w:t>
            </w:r>
            <w:r>
              <w:t>s</w:t>
            </w:r>
            <w:r w:rsidRPr="0047575C">
              <w:t xml:space="preserve"> under which a bon</w:t>
            </w:r>
            <w:r>
              <w:t>a</w:t>
            </w:r>
            <w:r w:rsidRPr="0047575C">
              <w:t xml:space="preserve"> fide dispute has caused the governmental entity to withhold final payment and release of retainage.</w:t>
            </w:r>
          </w:p>
          <w:p w:rsidR="00DC630D" w:rsidRPr="00BE167F" w:rsidRDefault="00F67A39" w:rsidP="00840060">
            <w:pPr>
              <w:spacing w:before="120" w:after="120"/>
              <w:jc w:val="both"/>
            </w:pPr>
          </w:p>
        </w:tc>
      </w:tr>
      <w:tr w:rsidR="003E104C" w:rsidTr="00345119">
        <w:tc>
          <w:tcPr>
            <w:tcW w:w="9576" w:type="dxa"/>
          </w:tcPr>
          <w:p w:rsidR="00FA24EE" w:rsidRPr="009C1E9A" w:rsidRDefault="00F67A39" w:rsidP="00840060">
            <w:pPr>
              <w:rPr>
                <w:b/>
                <w:u w:val="single"/>
              </w:rPr>
            </w:pPr>
          </w:p>
        </w:tc>
      </w:tr>
      <w:tr w:rsidR="003E104C" w:rsidTr="00345119">
        <w:tc>
          <w:tcPr>
            <w:tcW w:w="9576" w:type="dxa"/>
          </w:tcPr>
          <w:p w:rsidR="00FA24EE" w:rsidRPr="009D0DDF" w:rsidRDefault="00F67A39" w:rsidP="00840060">
            <w:pPr>
              <w:jc w:val="both"/>
            </w:pPr>
          </w:p>
        </w:tc>
      </w:tr>
      <w:tr w:rsidR="003E104C" w:rsidTr="00345119">
        <w:tc>
          <w:tcPr>
            <w:tcW w:w="9576" w:type="dxa"/>
          </w:tcPr>
          <w:p w:rsidR="009D0DDF" w:rsidRPr="00FA24EE" w:rsidRDefault="00F67A39" w:rsidP="00840060">
            <w:pPr>
              <w:jc w:val="both"/>
            </w:pPr>
          </w:p>
        </w:tc>
      </w:tr>
      <w:tr w:rsidR="003E104C" w:rsidTr="00345119">
        <w:tc>
          <w:tcPr>
            <w:tcW w:w="9576" w:type="dxa"/>
          </w:tcPr>
          <w:p w:rsidR="009D0DDF" w:rsidRPr="00FA24EE" w:rsidRDefault="00F67A39" w:rsidP="00840060">
            <w:pPr>
              <w:jc w:val="both"/>
            </w:pPr>
          </w:p>
        </w:tc>
      </w:tr>
      <w:tr w:rsidR="003E104C" w:rsidTr="00345119">
        <w:tc>
          <w:tcPr>
            <w:tcW w:w="9576" w:type="dxa"/>
          </w:tcPr>
          <w:p w:rsidR="009D0DDF" w:rsidRPr="00FA24EE" w:rsidRDefault="00F67A39" w:rsidP="00840060">
            <w:pPr>
              <w:jc w:val="both"/>
            </w:pPr>
          </w:p>
        </w:tc>
      </w:tr>
    </w:tbl>
    <w:p w:rsidR="008423E4" w:rsidRPr="00BE0E75" w:rsidRDefault="00F67A3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7A3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A39">
      <w:r>
        <w:separator/>
      </w:r>
    </w:p>
  </w:endnote>
  <w:endnote w:type="continuationSeparator" w:id="0">
    <w:p w:rsidR="00000000" w:rsidRDefault="00F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B0" w:rsidRDefault="00F67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104C" w:rsidTr="009C1E9A">
      <w:trPr>
        <w:cantSplit/>
      </w:trPr>
      <w:tc>
        <w:tcPr>
          <w:tcW w:w="0" w:type="pct"/>
        </w:tcPr>
        <w:p w:rsidR="00137D90" w:rsidRDefault="00F67A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7A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7A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7A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7A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104C" w:rsidTr="009C1E9A">
      <w:trPr>
        <w:cantSplit/>
      </w:trPr>
      <w:tc>
        <w:tcPr>
          <w:tcW w:w="0" w:type="pct"/>
        </w:tcPr>
        <w:p w:rsidR="00EC379B" w:rsidRDefault="00F67A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7A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26260</w:t>
          </w:r>
        </w:p>
      </w:tc>
      <w:tc>
        <w:tcPr>
          <w:tcW w:w="2453" w:type="pct"/>
        </w:tcPr>
        <w:p w:rsidR="00EC379B" w:rsidRDefault="00F67A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19.101.142</w:t>
          </w:r>
          <w:r>
            <w:fldChar w:fldCharType="end"/>
          </w:r>
        </w:p>
      </w:tc>
    </w:tr>
    <w:tr w:rsidR="003E104C" w:rsidTr="009C1E9A">
      <w:trPr>
        <w:cantSplit/>
      </w:trPr>
      <w:tc>
        <w:tcPr>
          <w:tcW w:w="0" w:type="pct"/>
        </w:tcPr>
        <w:p w:rsidR="00EC379B" w:rsidRDefault="00F67A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7A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22090</w:t>
          </w:r>
        </w:p>
      </w:tc>
      <w:tc>
        <w:tcPr>
          <w:tcW w:w="2453" w:type="pct"/>
        </w:tcPr>
        <w:p w:rsidR="00EC379B" w:rsidRDefault="00F67A39" w:rsidP="006D504F">
          <w:pPr>
            <w:pStyle w:val="Footer"/>
            <w:rPr>
              <w:rStyle w:val="PageNumber"/>
            </w:rPr>
          </w:pPr>
        </w:p>
        <w:p w:rsidR="00EC379B" w:rsidRDefault="00F67A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104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7A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F67A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7A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B0" w:rsidRDefault="00F67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A39">
      <w:r>
        <w:separator/>
      </w:r>
    </w:p>
  </w:footnote>
  <w:footnote w:type="continuationSeparator" w:id="0">
    <w:p w:rsidR="00000000" w:rsidRDefault="00F6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B0" w:rsidRDefault="00F67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B0" w:rsidRDefault="00F67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B0" w:rsidRDefault="00F67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209"/>
    <w:multiLevelType w:val="hybridMultilevel"/>
    <w:tmpl w:val="467A2552"/>
    <w:lvl w:ilvl="0" w:tplc="9F2CC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24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08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85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21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45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E0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ED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5633"/>
    <w:multiLevelType w:val="hybridMultilevel"/>
    <w:tmpl w:val="7A84AEE0"/>
    <w:lvl w:ilvl="0" w:tplc="799E2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01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A5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86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61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25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86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2C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6E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C78"/>
    <w:multiLevelType w:val="hybridMultilevel"/>
    <w:tmpl w:val="605ABC56"/>
    <w:lvl w:ilvl="0" w:tplc="FFBC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A4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26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A6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4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200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2F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CC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47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7437"/>
    <w:multiLevelType w:val="hybridMultilevel"/>
    <w:tmpl w:val="6E30CAAC"/>
    <w:lvl w:ilvl="0" w:tplc="F0F6C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C7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24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C2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E6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29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A7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E3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E9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712B"/>
    <w:multiLevelType w:val="hybridMultilevel"/>
    <w:tmpl w:val="97705192"/>
    <w:lvl w:ilvl="0" w:tplc="08389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89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CA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6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44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4F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0B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8B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46B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55A9"/>
    <w:multiLevelType w:val="hybridMultilevel"/>
    <w:tmpl w:val="D778B772"/>
    <w:lvl w:ilvl="0" w:tplc="987A2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436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43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89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05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CB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0F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3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47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392D"/>
    <w:multiLevelType w:val="hybridMultilevel"/>
    <w:tmpl w:val="7EAE67EC"/>
    <w:lvl w:ilvl="0" w:tplc="5802B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ED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8B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06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2D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05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AB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6A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49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77B2C"/>
    <w:multiLevelType w:val="hybridMultilevel"/>
    <w:tmpl w:val="28744C68"/>
    <w:lvl w:ilvl="0" w:tplc="F92C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A4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04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C1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88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2E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0D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A7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CB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4C"/>
    <w:rsid w:val="003E104C"/>
    <w:rsid w:val="00F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E5FE09-3A33-4CB4-9DFD-7D4DE6E8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22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2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22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2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2246"/>
    <w:rPr>
      <w:b/>
      <w:bCs/>
    </w:rPr>
  </w:style>
  <w:style w:type="paragraph" w:styleId="Revision">
    <w:name w:val="Revision"/>
    <w:hidden/>
    <w:uiPriority w:val="99"/>
    <w:semiHidden/>
    <w:rsid w:val="00EF76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6629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HB02135 (Committee Report (Substituted))</vt:lpstr>
    </vt:vector>
  </TitlesOfParts>
  <Company>State of Texas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26260</dc:subject>
  <dc:creator>State of Texas</dc:creator>
  <dc:description>HB 2135 by Shine-(H)State Affairs (Substitute Document Number: 86R 22090)</dc:description>
  <cp:lastModifiedBy>Stacey Nicchio</cp:lastModifiedBy>
  <cp:revision>2</cp:revision>
  <cp:lastPrinted>2003-11-26T17:21:00Z</cp:lastPrinted>
  <dcterms:created xsi:type="dcterms:W3CDTF">2019-04-12T22:20:00Z</dcterms:created>
  <dcterms:modified xsi:type="dcterms:W3CDTF">2019-04-12T22:20:00Z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19.101.142</vt:lpwstr>
  </property>
</Properties>
</file>