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7CA4" w:rsidTr="00345119">
        <w:tc>
          <w:tcPr>
            <w:tcW w:w="9576" w:type="dxa"/>
            <w:noWrap/>
          </w:tcPr>
          <w:p w:rsidR="008423E4" w:rsidRPr="0022177D" w:rsidRDefault="00B111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1145" w:rsidP="008423E4">
      <w:pPr>
        <w:jc w:val="center"/>
      </w:pPr>
    </w:p>
    <w:p w:rsidR="008423E4" w:rsidRPr="00B31F0E" w:rsidRDefault="00B11145" w:rsidP="008423E4"/>
    <w:p w:rsidR="008423E4" w:rsidRPr="00742794" w:rsidRDefault="00B111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7CA4" w:rsidTr="00345119">
        <w:tc>
          <w:tcPr>
            <w:tcW w:w="9576" w:type="dxa"/>
          </w:tcPr>
          <w:p w:rsidR="008423E4" w:rsidRPr="00861995" w:rsidRDefault="00B11145" w:rsidP="00345119">
            <w:pPr>
              <w:jc w:val="right"/>
            </w:pPr>
            <w:r>
              <w:t>H.B. 2172</w:t>
            </w:r>
          </w:p>
        </w:tc>
      </w:tr>
      <w:tr w:rsidR="00527CA4" w:rsidTr="00345119">
        <w:tc>
          <w:tcPr>
            <w:tcW w:w="9576" w:type="dxa"/>
          </w:tcPr>
          <w:p w:rsidR="008423E4" w:rsidRPr="00861995" w:rsidRDefault="00B11145" w:rsidP="005B12C8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527CA4" w:rsidTr="00345119">
        <w:tc>
          <w:tcPr>
            <w:tcW w:w="9576" w:type="dxa"/>
          </w:tcPr>
          <w:p w:rsidR="008423E4" w:rsidRPr="00861995" w:rsidRDefault="00B11145" w:rsidP="00345119">
            <w:pPr>
              <w:jc w:val="right"/>
            </w:pPr>
            <w:r>
              <w:t>Licensing &amp; Administrative Procedures</w:t>
            </w:r>
          </w:p>
        </w:tc>
      </w:tr>
      <w:tr w:rsidR="00527CA4" w:rsidTr="00345119">
        <w:tc>
          <w:tcPr>
            <w:tcW w:w="9576" w:type="dxa"/>
          </w:tcPr>
          <w:p w:rsidR="008423E4" w:rsidRDefault="00B111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1145" w:rsidP="008423E4">
      <w:pPr>
        <w:tabs>
          <w:tab w:val="right" w:pos="9360"/>
        </w:tabs>
      </w:pPr>
    </w:p>
    <w:p w:rsidR="008423E4" w:rsidRDefault="00B11145" w:rsidP="008423E4"/>
    <w:p w:rsidR="008423E4" w:rsidRDefault="00B111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7CA4" w:rsidTr="00345119">
        <w:tc>
          <w:tcPr>
            <w:tcW w:w="9576" w:type="dxa"/>
          </w:tcPr>
          <w:p w:rsidR="008423E4" w:rsidRPr="00A8133F" w:rsidRDefault="00B11145" w:rsidP="00BA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1145" w:rsidP="00BA05D3"/>
          <w:p w:rsidR="008423E4" w:rsidRDefault="00B11145" w:rsidP="00BA05D3">
            <w:pPr>
              <w:pStyle w:val="Header"/>
              <w:jc w:val="both"/>
            </w:pPr>
            <w:r>
              <w:t>It has been suggested that d</w:t>
            </w:r>
            <w:r>
              <w:t xml:space="preserve">rink solicitation is typically a precursor or </w:t>
            </w:r>
            <w:r>
              <w:t xml:space="preserve">strong </w:t>
            </w:r>
            <w:r>
              <w:t xml:space="preserve">indicator of organized criminal activity, such as human trafficking. </w:t>
            </w:r>
            <w:r>
              <w:t xml:space="preserve">Concerns have been raised regarding the inability </w:t>
            </w:r>
            <w:r>
              <w:t>of</w:t>
            </w:r>
            <w:r>
              <w:t xml:space="preserve"> the Texas Alcoholic Beverage Commission (TABC) to </w:t>
            </w:r>
            <w:r>
              <w:t>refuse to issue a</w:t>
            </w:r>
            <w:r>
              <w:t>n alcoholic beverage</w:t>
            </w:r>
            <w:r>
              <w:t xml:space="preserve"> license for a period of time if the location o</w:t>
            </w:r>
            <w:r>
              <w:t xml:space="preserve">r license holder has been associated with </w:t>
            </w:r>
            <w:r>
              <w:t xml:space="preserve">drink solicitation, as TABC may do for other </w:t>
            </w:r>
            <w:r>
              <w:t xml:space="preserve">certain types of criminal </w:t>
            </w:r>
            <w:r>
              <w:t>activity</w:t>
            </w:r>
            <w:r>
              <w:t xml:space="preserve">. </w:t>
            </w:r>
            <w:r>
              <w:t>H.B. 2172 seeks to address this issue by including</w:t>
            </w:r>
            <w:r>
              <w:t xml:space="preserve"> drink solicitation </w:t>
            </w:r>
            <w:r>
              <w:t>as a grounds for refusal of certain alcoholic beverage licenses</w:t>
            </w:r>
            <w:r>
              <w:t xml:space="preserve"> and permits</w:t>
            </w:r>
            <w:r>
              <w:t>.</w:t>
            </w:r>
          </w:p>
          <w:p w:rsidR="008423E4" w:rsidRPr="00E26B13" w:rsidRDefault="00B11145" w:rsidP="00BA05D3">
            <w:pPr>
              <w:rPr>
                <w:b/>
              </w:rPr>
            </w:pPr>
          </w:p>
        </w:tc>
      </w:tr>
      <w:tr w:rsidR="00527CA4" w:rsidTr="00345119">
        <w:tc>
          <w:tcPr>
            <w:tcW w:w="9576" w:type="dxa"/>
          </w:tcPr>
          <w:p w:rsidR="0017725B" w:rsidRDefault="00B11145" w:rsidP="00BA05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1145" w:rsidP="00BA05D3">
            <w:pPr>
              <w:rPr>
                <w:b/>
                <w:u w:val="single"/>
              </w:rPr>
            </w:pPr>
          </w:p>
          <w:p w:rsidR="008B69AF" w:rsidRPr="008B69AF" w:rsidRDefault="00B11145" w:rsidP="00BA05D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B11145" w:rsidP="00BA05D3">
            <w:pPr>
              <w:rPr>
                <w:b/>
                <w:u w:val="single"/>
              </w:rPr>
            </w:pPr>
          </w:p>
        </w:tc>
      </w:tr>
      <w:tr w:rsidR="00527CA4" w:rsidTr="00345119">
        <w:tc>
          <w:tcPr>
            <w:tcW w:w="9576" w:type="dxa"/>
          </w:tcPr>
          <w:p w:rsidR="008423E4" w:rsidRPr="00A8133F" w:rsidRDefault="00B11145" w:rsidP="00BA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1145" w:rsidP="00BA05D3"/>
          <w:p w:rsidR="008B69AF" w:rsidRDefault="00B11145" w:rsidP="00BA05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11145" w:rsidP="00BA05D3">
            <w:pPr>
              <w:rPr>
                <w:b/>
              </w:rPr>
            </w:pPr>
          </w:p>
        </w:tc>
      </w:tr>
      <w:tr w:rsidR="00527CA4" w:rsidTr="00345119">
        <w:tc>
          <w:tcPr>
            <w:tcW w:w="9576" w:type="dxa"/>
          </w:tcPr>
          <w:p w:rsidR="008423E4" w:rsidRPr="00A8133F" w:rsidRDefault="00B11145" w:rsidP="00BA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1145" w:rsidP="00BA05D3"/>
          <w:p w:rsidR="00021F48" w:rsidRDefault="00B11145" w:rsidP="00BA05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2172 amends the Alcoholic Beverage Code to include</w:t>
            </w:r>
            <w:r>
              <w:t xml:space="preserve"> an offense involving</w:t>
            </w:r>
            <w:r>
              <w:t xml:space="preserve"> drink solicitation </w:t>
            </w:r>
            <w:r>
              <w:t>as</w:t>
            </w:r>
            <w:r w:rsidRPr="00ED6BB4">
              <w:t xml:space="preserve"> </w:t>
            </w:r>
            <w:r>
              <w:t xml:space="preserve">mandatory </w:t>
            </w:r>
            <w:r w:rsidRPr="00ED6BB4">
              <w:t xml:space="preserve">grounds </w:t>
            </w:r>
            <w:r>
              <w:t>for</w:t>
            </w:r>
            <w:r w:rsidRPr="00ED6BB4">
              <w:t xml:space="preserve"> the</w:t>
            </w:r>
            <w:r>
              <w:t xml:space="preserve"> </w:t>
            </w:r>
            <w:r>
              <w:t xml:space="preserve">refusal of certain alcoholic beverage permits and licenses in the </w:t>
            </w:r>
            <w:r>
              <w:t>follow</w:t>
            </w:r>
            <w:r>
              <w:t>ing circumstances:</w:t>
            </w:r>
          </w:p>
          <w:p w:rsidR="00021F48" w:rsidRDefault="00B11145" w:rsidP="00BA05D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refusal by the </w:t>
            </w:r>
            <w:r w:rsidRPr="00ED6BB4">
              <w:t>Texas Alcoholic Beverage</w:t>
            </w:r>
            <w:r w:rsidRPr="00ED6BB4">
              <w:t xml:space="preserve"> Commission</w:t>
            </w:r>
            <w:r>
              <w:t xml:space="preserve"> (TABC)</w:t>
            </w:r>
            <w:r w:rsidRPr="00ED6BB4">
              <w:t xml:space="preserve"> or the </w:t>
            </w:r>
            <w:r>
              <w:t xml:space="preserve">TABC </w:t>
            </w:r>
            <w:r w:rsidRPr="00ED6BB4">
              <w:t xml:space="preserve">administrator </w:t>
            </w:r>
            <w:r>
              <w:t>to issue f</w:t>
            </w:r>
            <w:r w:rsidRPr="00ED6BB4">
              <w:t xml:space="preserve">or a </w:t>
            </w:r>
            <w:r>
              <w:t xml:space="preserve">three-year </w:t>
            </w:r>
            <w:r w:rsidRPr="00ED6BB4">
              <w:t xml:space="preserve">period a </w:t>
            </w:r>
            <w:r>
              <w:t>permit</w:t>
            </w:r>
            <w:r w:rsidRPr="00ED6BB4">
              <w:t xml:space="preserve"> or </w:t>
            </w:r>
            <w:r>
              <w:t>license</w:t>
            </w:r>
            <w:r w:rsidRPr="00ED6BB4">
              <w:t xml:space="preserve"> for any location</w:t>
            </w:r>
            <w:r>
              <w:t xml:space="preserve"> </w:t>
            </w:r>
            <w:r w:rsidRPr="00ED6BB4">
              <w:t xml:space="preserve">to </w:t>
            </w:r>
            <w:r>
              <w:t>an</w:t>
            </w:r>
            <w:r w:rsidRPr="00ED6BB4">
              <w:t xml:space="preserve"> applicant </w:t>
            </w:r>
            <w:r>
              <w:t>who</w:t>
            </w:r>
            <w:r>
              <w:t xml:space="preserve"> </w:t>
            </w:r>
            <w:r>
              <w:t xml:space="preserve">submitted a prior application that expired or was voluntarily surrendered before the hearing on the application was held </w:t>
            </w:r>
            <w:r>
              <w:t>on a protest</w:t>
            </w:r>
            <w:r>
              <w:t xml:space="preserve"> involving allegations of certain </w:t>
            </w:r>
            <w:r>
              <w:t>acts</w:t>
            </w:r>
            <w:r>
              <w:t xml:space="preserve"> or</w:t>
            </w:r>
            <w:r>
              <w:t xml:space="preserve"> offenses</w:t>
            </w:r>
            <w:r>
              <w:t>; and</w:t>
            </w:r>
            <w:r>
              <w:t xml:space="preserve"> </w:t>
            </w:r>
          </w:p>
          <w:p w:rsidR="00A13C0A" w:rsidRPr="008B69AF" w:rsidRDefault="00B11145" w:rsidP="00BA05D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refusal by </w:t>
            </w:r>
            <w:r>
              <w:t xml:space="preserve">the county judge, TABC, </w:t>
            </w:r>
            <w:r w:rsidRPr="005337AC">
              <w:t>or the TABC administrator</w:t>
            </w:r>
            <w:r>
              <w:t xml:space="preserve"> to approve or issue</w:t>
            </w:r>
            <w:r>
              <w:t xml:space="preserve">, as applicable, </w:t>
            </w:r>
            <w:r w:rsidRPr="00777EF4">
              <w:t>for</w:t>
            </w:r>
            <w:r>
              <w:t xml:space="preserve"> a</w:t>
            </w:r>
            <w:r>
              <w:t xml:space="preserve"> one-year</w:t>
            </w:r>
            <w:r>
              <w:t xml:space="preserve"> period </w:t>
            </w:r>
            <w:r w:rsidRPr="00777EF4">
              <w:t>after cancellation</w:t>
            </w:r>
            <w:r>
              <w:t xml:space="preserve"> of certain</w:t>
            </w:r>
            <w:r w:rsidRPr="00777EF4">
              <w:t xml:space="preserve"> </w:t>
            </w:r>
            <w:r>
              <w:t>permit</w:t>
            </w:r>
            <w:r>
              <w:t>s and</w:t>
            </w:r>
            <w:r>
              <w:t xml:space="preserve"> license</w:t>
            </w:r>
            <w:r>
              <w:t xml:space="preserve">s for a premises </w:t>
            </w:r>
            <w:r>
              <w:t>where a license or permit has b</w:t>
            </w:r>
            <w:r>
              <w:t xml:space="preserve">een canceled during the preceding </w:t>
            </w:r>
            <w:r>
              <w:t xml:space="preserve">12 months as a result of </w:t>
            </w:r>
            <w:r>
              <w:t>certain</w:t>
            </w:r>
            <w:r>
              <w:t xml:space="preserve"> act</w:t>
            </w:r>
            <w:r>
              <w:t>s or offenses</w:t>
            </w:r>
            <w:r>
              <w:t>.</w:t>
            </w:r>
            <w:r>
              <w:t xml:space="preserve">    </w:t>
            </w:r>
          </w:p>
          <w:p w:rsidR="008423E4" w:rsidRPr="00835628" w:rsidRDefault="00B11145" w:rsidP="00BA05D3">
            <w:pPr>
              <w:rPr>
                <w:b/>
              </w:rPr>
            </w:pPr>
          </w:p>
        </w:tc>
      </w:tr>
      <w:tr w:rsidR="00527CA4" w:rsidTr="00345119">
        <w:tc>
          <w:tcPr>
            <w:tcW w:w="9576" w:type="dxa"/>
          </w:tcPr>
          <w:p w:rsidR="008423E4" w:rsidRPr="00A8133F" w:rsidRDefault="00B11145" w:rsidP="00BA05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1145" w:rsidP="00BA05D3"/>
          <w:p w:rsidR="008423E4" w:rsidRPr="003624F2" w:rsidRDefault="00B11145" w:rsidP="00BA05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11145" w:rsidP="00BA05D3">
            <w:pPr>
              <w:rPr>
                <w:b/>
              </w:rPr>
            </w:pPr>
          </w:p>
        </w:tc>
      </w:tr>
    </w:tbl>
    <w:p w:rsidR="008423E4" w:rsidRPr="00BE0E75" w:rsidRDefault="00B111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11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145">
      <w:r>
        <w:separator/>
      </w:r>
    </w:p>
  </w:endnote>
  <w:endnote w:type="continuationSeparator" w:id="0">
    <w:p w:rsidR="00000000" w:rsidRDefault="00B1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F" w:rsidRDefault="00B11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7CA4" w:rsidTr="009C1E9A">
      <w:trPr>
        <w:cantSplit/>
      </w:trPr>
      <w:tc>
        <w:tcPr>
          <w:tcW w:w="0" w:type="pct"/>
        </w:tcPr>
        <w:p w:rsidR="00137D90" w:rsidRDefault="00B111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11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11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11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11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CA4" w:rsidTr="009C1E9A">
      <w:trPr>
        <w:cantSplit/>
      </w:trPr>
      <w:tc>
        <w:tcPr>
          <w:tcW w:w="0" w:type="pct"/>
        </w:tcPr>
        <w:p w:rsidR="00EC379B" w:rsidRDefault="00B111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11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24992</w:t>
          </w:r>
        </w:p>
      </w:tc>
      <w:tc>
        <w:tcPr>
          <w:tcW w:w="2453" w:type="pct"/>
        </w:tcPr>
        <w:p w:rsidR="00EC379B" w:rsidRDefault="00B111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19.97.19</w:t>
          </w:r>
          <w:r>
            <w:fldChar w:fldCharType="end"/>
          </w:r>
        </w:p>
      </w:tc>
    </w:tr>
    <w:tr w:rsidR="00527CA4" w:rsidTr="009C1E9A">
      <w:trPr>
        <w:cantSplit/>
      </w:trPr>
      <w:tc>
        <w:tcPr>
          <w:tcW w:w="0" w:type="pct"/>
        </w:tcPr>
        <w:p w:rsidR="00EC379B" w:rsidRDefault="00B111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11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1145" w:rsidP="006D504F">
          <w:pPr>
            <w:pStyle w:val="Footer"/>
            <w:rPr>
              <w:rStyle w:val="PageNumber"/>
            </w:rPr>
          </w:pPr>
        </w:p>
        <w:p w:rsidR="00EC379B" w:rsidRDefault="00B111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C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11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11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11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F" w:rsidRDefault="00B11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145">
      <w:r>
        <w:separator/>
      </w:r>
    </w:p>
  </w:footnote>
  <w:footnote w:type="continuationSeparator" w:id="0">
    <w:p w:rsidR="00000000" w:rsidRDefault="00B1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F" w:rsidRDefault="00B11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F" w:rsidRDefault="00B11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F" w:rsidRDefault="00B11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F29"/>
    <w:multiLevelType w:val="hybridMultilevel"/>
    <w:tmpl w:val="29F87A6A"/>
    <w:lvl w:ilvl="0" w:tplc="9916748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766BF5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C28EE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FBE64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652C0D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666F0C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ACA33A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91EC58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79EF8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B33818"/>
    <w:multiLevelType w:val="hybridMultilevel"/>
    <w:tmpl w:val="7A988DA6"/>
    <w:lvl w:ilvl="0" w:tplc="6D165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44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8D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43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6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C7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8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CE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4"/>
    <w:rsid w:val="00527CA4"/>
    <w:rsid w:val="00B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2BF8E4-384C-4B92-94F5-0A484090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69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9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1821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HB02172 (Committee Report (Unamended))</vt:lpstr>
    </vt:vector>
  </TitlesOfParts>
  <Company>State of Texas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24992</dc:subject>
  <dc:creator>State of Texas</dc:creator>
  <dc:description>HB 2172 by Thompson, Senfronia-(H)Licensing &amp; Administrative Procedures</dc:description>
  <cp:lastModifiedBy>Erin Conway</cp:lastModifiedBy>
  <cp:revision>2</cp:revision>
  <cp:lastPrinted>2003-11-26T17:21:00Z</cp:lastPrinted>
  <dcterms:created xsi:type="dcterms:W3CDTF">2019-04-12T23:03:00Z</dcterms:created>
  <dcterms:modified xsi:type="dcterms:W3CDTF">2019-04-12T23:03:00Z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19.97.19</vt:lpwstr>
  </property>
</Properties>
</file>