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2698" w:rsidTr="00345119">
        <w:tc>
          <w:tcPr>
            <w:tcW w:w="9576" w:type="dxa"/>
            <w:noWrap/>
          </w:tcPr>
          <w:p w:rsidR="008423E4" w:rsidRPr="0022177D" w:rsidRDefault="001975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7517" w:rsidP="008423E4">
      <w:pPr>
        <w:jc w:val="center"/>
      </w:pPr>
    </w:p>
    <w:p w:rsidR="008423E4" w:rsidRPr="00B31F0E" w:rsidRDefault="00197517" w:rsidP="008423E4"/>
    <w:p w:rsidR="008423E4" w:rsidRPr="00742794" w:rsidRDefault="001975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2698" w:rsidTr="00345119">
        <w:tc>
          <w:tcPr>
            <w:tcW w:w="9576" w:type="dxa"/>
          </w:tcPr>
          <w:p w:rsidR="008423E4" w:rsidRPr="00861995" w:rsidRDefault="00197517" w:rsidP="00345119">
            <w:pPr>
              <w:jc w:val="right"/>
            </w:pPr>
            <w:r>
              <w:t>C.S.H.B. 2174</w:t>
            </w:r>
          </w:p>
        </w:tc>
      </w:tr>
      <w:tr w:rsidR="00752698" w:rsidTr="00345119">
        <w:tc>
          <w:tcPr>
            <w:tcW w:w="9576" w:type="dxa"/>
          </w:tcPr>
          <w:p w:rsidR="008423E4" w:rsidRPr="00861995" w:rsidRDefault="00197517" w:rsidP="00D93F6D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752698" w:rsidTr="00345119">
        <w:tc>
          <w:tcPr>
            <w:tcW w:w="9576" w:type="dxa"/>
          </w:tcPr>
          <w:p w:rsidR="008423E4" w:rsidRPr="00861995" w:rsidRDefault="00197517" w:rsidP="00345119">
            <w:pPr>
              <w:jc w:val="right"/>
            </w:pPr>
            <w:r>
              <w:t>Public Health</w:t>
            </w:r>
          </w:p>
        </w:tc>
      </w:tr>
      <w:tr w:rsidR="00752698" w:rsidTr="00345119">
        <w:tc>
          <w:tcPr>
            <w:tcW w:w="9576" w:type="dxa"/>
          </w:tcPr>
          <w:p w:rsidR="008423E4" w:rsidRDefault="00197517" w:rsidP="00EB10D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7517" w:rsidP="008423E4">
      <w:pPr>
        <w:tabs>
          <w:tab w:val="right" w:pos="9360"/>
        </w:tabs>
      </w:pPr>
    </w:p>
    <w:p w:rsidR="008423E4" w:rsidRDefault="00197517" w:rsidP="008423E4"/>
    <w:p w:rsidR="008423E4" w:rsidRDefault="001975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2698" w:rsidTr="00FC5B45">
        <w:tc>
          <w:tcPr>
            <w:tcW w:w="9576" w:type="dxa"/>
          </w:tcPr>
          <w:p w:rsidR="008423E4" w:rsidRPr="00A8133F" w:rsidRDefault="00197517" w:rsidP="00E013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7517" w:rsidP="00E01397"/>
          <w:p w:rsidR="004500DC" w:rsidRDefault="00197517" w:rsidP="00E01397">
            <w:pPr>
              <w:pStyle w:val="Header"/>
              <w:jc w:val="both"/>
            </w:pPr>
            <w:r>
              <w:t>There</w:t>
            </w:r>
            <w:r>
              <w:t xml:space="preserve"> are concerns about the growing number of deaths in Texas related to the abuse of prescription drugs</w:t>
            </w:r>
            <w:r>
              <w:t xml:space="preserve"> and </w:t>
            </w:r>
            <w:r>
              <w:t>opioids</w:t>
            </w:r>
            <w:r>
              <w:t>, particularly</w:t>
            </w:r>
            <w:r>
              <w:t xml:space="preserve"> </w:t>
            </w:r>
            <w:r>
              <w:t xml:space="preserve">in light of a </w:t>
            </w:r>
            <w:r>
              <w:t xml:space="preserve">recent </w:t>
            </w:r>
            <w:r>
              <w:t>report from</w:t>
            </w:r>
            <w:r>
              <w:t xml:space="preserve"> </w:t>
            </w:r>
            <w:r w:rsidRPr="00CE0C81">
              <w:t xml:space="preserve">the Maternal Mortality and Morbidity Task Force </w:t>
            </w:r>
            <w:r>
              <w:t>that</w:t>
            </w:r>
            <w:r>
              <w:t xml:space="preserve"> </w:t>
            </w:r>
            <w:r>
              <w:t>drug overdose</w:t>
            </w:r>
            <w:r>
              <w:t xml:space="preserve"> </w:t>
            </w:r>
            <w:r>
              <w:t xml:space="preserve">is a leading cause of maternal deaths.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2174 seeks to</w:t>
            </w:r>
            <w:r>
              <w:t xml:space="preserve"> address these concerns by </w:t>
            </w:r>
            <w:r>
              <w:t xml:space="preserve">making changes to </w:t>
            </w:r>
            <w:r>
              <w:t>the Texas Controlled Substances Act</w:t>
            </w:r>
            <w:r>
              <w:t xml:space="preserve"> </w:t>
            </w:r>
            <w:r>
              <w:t>and other appl</w:t>
            </w:r>
            <w:r>
              <w:t xml:space="preserve">icable statutes </w:t>
            </w:r>
            <w:r>
              <w:t xml:space="preserve">to help </w:t>
            </w:r>
            <w:r>
              <w:t xml:space="preserve">combat the growing rate of prescription drug abuse in Texas. </w:t>
            </w:r>
          </w:p>
          <w:p w:rsidR="008423E4" w:rsidRPr="00E26B13" w:rsidRDefault="00197517" w:rsidP="00E01397">
            <w:pPr>
              <w:rPr>
                <w:b/>
              </w:rPr>
            </w:pPr>
          </w:p>
        </w:tc>
      </w:tr>
      <w:tr w:rsidR="00752698" w:rsidTr="00FC5B45">
        <w:tc>
          <w:tcPr>
            <w:tcW w:w="9576" w:type="dxa"/>
          </w:tcPr>
          <w:p w:rsidR="0017725B" w:rsidRDefault="00197517" w:rsidP="00E013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7517" w:rsidP="00E01397">
            <w:pPr>
              <w:rPr>
                <w:b/>
                <w:u w:val="single"/>
              </w:rPr>
            </w:pPr>
          </w:p>
          <w:p w:rsidR="006D57F9" w:rsidRPr="006D57F9" w:rsidRDefault="00197517" w:rsidP="00E01397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97517" w:rsidP="00E01397">
            <w:pPr>
              <w:rPr>
                <w:b/>
                <w:u w:val="single"/>
              </w:rPr>
            </w:pPr>
          </w:p>
        </w:tc>
      </w:tr>
      <w:tr w:rsidR="00752698" w:rsidTr="00FC5B45">
        <w:tc>
          <w:tcPr>
            <w:tcW w:w="9576" w:type="dxa"/>
          </w:tcPr>
          <w:p w:rsidR="008423E4" w:rsidRPr="00A8133F" w:rsidRDefault="00197517" w:rsidP="00E013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7517" w:rsidP="00E01397"/>
          <w:p w:rsidR="002D3781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highlight w:val="yellow"/>
              </w:rPr>
            </w:pPr>
            <w:r w:rsidRPr="00664688">
              <w:t>It is the committee's opinion that rulemaking au</w:t>
            </w:r>
            <w:r w:rsidRPr="00664688">
              <w:t xml:space="preserve">thority is expressly granted </w:t>
            </w:r>
            <w:r w:rsidRPr="00664688">
              <w:t>to the Texas State Boa</w:t>
            </w:r>
            <w:r w:rsidRPr="00664688">
              <w:t>rd of Pharmacy in SECTION</w:t>
            </w:r>
            <w:r w:rsidRPr="00664688">
              <w:t>S</w:t>
            </w:r>
            <w:r w:rsidRPr="00664688">
              <w:t xml:space="preserve"> 3 </w:t>
            </w:r>
            <w:r w:rsidRPr="00664688">
              <w:t xml:space="preserve">and 13 of this bill and </w:t>
            </w:r>
            <w:r w:rsidRPr="00664688">
              <w:t>to each regulatory agency that issues a license, certification, or registration to a prescriber and to the Texas State Board of Pharmacy in SECTION 7 of this bill</w:t>
            </w:r>
            <w:r w:rsidRPr="00664688">
              <w:t>.</w:t>
            </w:r>
          </w:p>
          <w:p w:rsidR="008423E4" w:rsidRPr="00E21FDC" w:rsidRDefault="00197517" w:rsidP="00E01397">
            <w:pPr>
              <w:rPr>
                <w:b/>
              </w:rPr>
            </w:pPr>
          </w:p>
        </w:tc>
      </w:tr>
      <w:tr w:rsidR="00752698" w:rsidTr="00FC5B45">
        <w:tc>
          <w:tcPr>
            <w:tcW w:w="9576" w:type="dxa"/>
          </w:tcPr>
          <w:p w:rsidR="008423E4" w:rsidRPr="00A8133F" w:rsidRDefault="00197517" w:rsidP="00E01397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197517" w:rsidP="00E01397">
            <w:pPr>
              <w:jc w:val="both"/>
            </w:pPr>
          </w:p>
          <w:p w:rsidR="00151BF6" w:rsidRDefault="00197517" w:rsidP="00E01397">
            <w:pPr>
              <w:jc w:val="both"/>
            </w:pPr>
            <w:r>
              <w:t>C.S.</w:t>
            </w:r>
            <w:r>
              <w:t>H.B. 2174 amends the</w:t>
            </w:r>
            <w:r>
              <w:t xml:space="preserve"> Health and Safety Code to </w:t>
            </w:r>
            <w:r>
              <w:t>revise provisions relating to controlled substance</w:t>
            </w:r>
            <w:r>
              <w:t xml:space="preserve"> prescriptions</w:t>
            </w:r>
            <w:r>
              <w:t xml:space="preserve"> under the Texas Controlled Substances Act. </w:t>
            </w:r>
            <w:r>
              <w:t>T</w:t>
            </w:r>
            <w:r>
              <w:t xml:space="preserve">he bill </w:t>
            </w:r>
            <w:r>
              <w:t>establish</w:t>
            </w:r>
            <w:r>
              <w:t>es</w:t>
            </w:r>
            <w:r>
              <w:t xml:space="preserve"> that a prescription for a controlled substance is not required </w:t>
            </w:r>
            <w:r w:rsidRPr="00BC1AC4">
              <w:t>to be issued electronically</w:t>
            </w:r>
            <w:r>
              <w:t xml:space="preserve"> and </w:t>
            </w:r>
            <w:r>
              <w:t>autho</w:t>
            </w:r>
            <w:r>
              <w:t>rize</w:t>
            </w:r>
            <w:r>
              <w:t>s</w:t>
            </w:r>
            <w:r>
              <w:t xml:space="preserve"> such a prescription to </w:t>
            </w:r>
            <w:r w:rsidRPr="00BC1AC4">
              <w:t>be issued in writing if the prescription is issued</w:t>
            </w:r>
            <w:r>
              <w:t xml:space="preserve"> under </w:t>
            </w:r>
            <w:r>
              <w:t>the following</w:t>
            </w:r>
            <w:r>
              <w:t xml:space="preserve"> circumstances</w:t>
            </w:r>
            <w:r>
              <w:t>: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by a veterinarian;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in circumstances in which electronic prescribing is not available due to temporary technological or electronic failure, as prescribed by </w:t>
            </w:r>
            <w:r>
              <w:t>Texas State Board of Pharmacy (</w:t>
            </w:r>
            <w:r>
              <w:t>TSBP</w:t>
            </w:r>
            <w:r>
              <w:t>)</w:t>
            </w:r>
            <w:r>
              <w:t xml:space="preserve"> rule;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by a practitioner to be dispensed by a pharmacy located outside of Texas, a</w:t>
            </w:r>
            <w:r>
              <w:t xml:space="preserve">s prescribed by TSBP rule;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when the prescriber and dispenser are in the same location or under the same license;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in circumstances in which necessary elements are not supported by the most recently implemented national data standard that facilitates elect</w:t>
            </w:r>
            <w:r>
              <w:t xml:space="preserve">ronic prescribing;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for a drug for which the </w:t>
            </w:r>
            <w:r>
              <w:t xml:space="preserve">U.S. </w:t>
            </w:r>
            <w:r>
              <w:t>F</w:t>
            </w:r>
            <w:r>
              <w:t xml:space="preserve">ood and </w:t>
            </w:r>
            <w:r>
              <w:t>D</w:t>
            </w:r>
            <w:r>
              <w:t xml:space="preserve">rug </w:t>
            </w:r>
            <w:r>
              <w:t>A</w:t>
            </w:r>
            <w:r>
              <w:t>dministration</w:t>
            </w:r>
            <w:r>
              <w:t xml:space="preserve"> requires additional information in the prescription that is not possible with electronic prescribing;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for a non-patient-specific prescription pursuant to a standing order, approved protocol for drug therapy, collaborative drug management, or comprehensive medication management, in response to a public health emergency or in other circumstances in which the</w:t>
            </w:r>
            <w:r>
              <w:t xml:space="preserve"> practitioner may issue a non-patient-specific prescription;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for a drug under a research protocol;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by a practitioner who has received a waiver from the requirement to use electronic prescribing;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under circumstances in which the practitioner has the pres</w:t>
            </w:r>
            <w:r>
              <w:t>ent ability to submit an electronic prescription but reasonably determines that it would be impractical for the patient to obtain the drugs prescribed under the electronic prescription in a timely manner and that a delay would adversely impact the patient'</w:t>
            </w:r>
            <w:r>
              <w:t xml:space="preserve">s medical condition; </w:t>
            </w:r>
            <w:r>
              <w:t xml:space="preserve">or </w:t>
            </w:r>
          </w:p>
          <w:p w:rsidR="00151BF6" w:rsidRDefault="00197517" w:rsidP="00E0139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before January 1, 2021.</w:t>
            </w:r>
          </w:p>
          <w:p w:rsidR="00AC60C0" w:rsidRDefault="00197517" w:rsidP="00E01397">
            <w:pPr>
              <w:jc w:val="both"/>
            </w:pPr>
            <w:r>
              <w:t xml:space="preserve">The bill </w:t>
            </w:r>
            <w:r>
              <w:t xml:space="preserve">requires a practitioner to use a written prescription to submit </w:t>
            </w:r>
            <w:r>
              <w:t>the</w:t>
            </w:r>
            <w:r>
              <w:t xml:space="preserve"> </w:t>
            </w:r>
            <w:r>
              <w:t>prescription</w:t>
            </w:r>
            <w:r>
              <w:t xml:space="preserve"> under th</w:t>
            </w:r>
            <w:r>
              <w:t>ose</w:t>
            </w:r>
            <w:r>
              <w:t xml:space="preserve"> specified circumstances</w:t>
            </w:r>
            <w:r>
              <w:t>,</w:t>
            </w:r>
            <w:r>
              <w:t xml:space="preserve"> except in an emergency as </w:t>
            </w:r>
            <w:r w:rsidRPr="004D46F9">
              <w:t xml:space="preserve">defined </w:t>
            </w:r>
            <w:r>
              <w:t xml:space="preserve">by </w:t>
            </w:r>
            <w:r>
              <w:t>TSBP rule</w:t>
            </w:r>
            <w:r>
              <w:t>,</w:t>
            </w:r>
            <w:r>
              <w:t xml:space="preserve"> and authorizes the practitioner</w:t>
            </w:r>
            <w:r>
              <w:t xml:space="preserve"> </w:t>
            </w:r>
            <w:r>
              <w:t xml:space="preserve">to </w:t>
            </w:r>
            <w:r w:rsidRPr="00580155">
              <w:t>submit an oral or telephonically communicated prescription</w:t>
            </w:r>
            <w:r w:rsidRPr="004835F2">
              <w:t xml:space="preserve"> in an emergency</w:t>
            </w:r>
            <w:r>
              <w:t xml:space="preserve">. </w:t>
            </w:r>
            <w:r>
              <w:t xml:space="preserve">The bill </w:t>
            </w:r>
            <w:r>
              <w:t>expressly does not require</w:t>
            </w:r>
            <w:r>
              <w:t xml:space="preserve"> a </w:t>
            </w:r>
            <w:r w:rsidRPr="00E12B50">
              <w:t>dispensing pharmacist who receives a controlled substance prescription in a manner other than electronically to verify that the prescriptio</w:t>
            </w:r>
            <w:r w:rsidRPr="00E12B50">
              <w:t>n is exempt from the requirement that it be submitted electronically</w:t>
            </w:r>
            <w:r>
              <w:t xml:space="preserve"> and authorizes the</w:t>
            </w:r>
            <w:r>
              <w:t xml:space="preserve"> </w:t>
            </w:r>
            <w:r w:rsidRPr="00E12B50">
              <w:t xml:space="preserve">pharmacist </w:t>
            </w:r>
            <w:r>
              <w:t xml:space="preserve">to </w:t>
            </w:r>
            <w:r w:rsidRPr="00E12B50">
              <w:t>dispense a controlled substance pursuant to an otherwise valid written, oral, or telephonically communicated prescription.</w:t>
            </w:r>
            <w:r>
              <w:t xml:space="preserve"> </w:t>
            </w:r>
          </w:p>
          <w:p w:rsidR="00AC60C0" w:rsidRDefault="00197517" w:rsidP="00E01397">
            <w:pPr>
              <w:jc w:val="both"/>
            </w:pPr>
          </w:p>
          <w:p w:rsidR="001F0960" w:rsidRDefault="00197517" w:rsidP="00E01397">
            <w:pPr>
              <w:jc w:val="both"/>
            </w:pPr>
            <w:r>
              <w:t>C.S.</w:t>
            </w:r>
            <w:r>
              <w:t>H.B. 2174</w:t>
            </w:r>
            <w:r>
              <w:t xml:space="preserve"> </w:t>
            </w:r>
            <w:r>
              <w:t xml:space="preserve">requires </w:t>
            </w:r>
            <w:r>
              <w:t xml:space="preserve">a </w:t>
            </w:r>
            <w:r w:rsidRPr="00580155">
              <w:t>written prescription for a controlled substance other than a Sched</w:t>
            </w:r>
            <w:r>
              <w:t>ule II controlled substance to</w:t>
            </w:r>
            <w:r w:rsidRPr="00580155">
              <w:t xml:space="preserve"> include </w:t>
            </w:r>
            <w:r>
              <w:t>certain</w:t>
            </w:r>
            <w:r w:rsidRPr="00580155">
              <w:t xml:space="preserve"> </w:t>
            </w:r>
            <w:r>
              <w:t>information</w:t>
            </w:r>
            <w:r>
              <w:t xml:space="preserve"> </w:t>
            </w:r>
            <w:r w:rsidRPr="00580155">
              <w:t>and the signature of the prescribing practitioner.</w:t>
            </w:r>
            <w:r>
              <w:t xml:space="preserve"> </w:t>
            </w:r>
            <w:r>
              <w:t xml:space="preserve">The bill redefines </w:t>
            </w:r>
            <w:r>
              <w:t>"</w:t>
            </w:r>
            <w:r>
              <w:t>official prescription form</w:t>
            </w:r>
            <w:r>
              <w:t xml:space="preserve">" </w:t>
            </w:r>
            <w:r>
              <w:t xml:space="preserve">to limit its use to prescribing </w:t>
            </w:r>
            <w:r>
              <w:t>Schedule II controlled substances,</w:t>
            </w:r>
            <w:r>
              <w:t xml:space="preserve"> requires a written prescription </w:t>
            </w:r>
            <w:r w:rsidRPr="00B97126">
              <w:t>for a Sched</w:t>
            </w:r>
            <w:r>
              <w:t>ule II controlled substance to</w:t>
            </w:r>
            <w:r w:rsidRPr="00B97126">
              <w:t xml:space="preserve"> be on an official prescription form and </w:t>
            </w:r>
            <w:r>
              <w:t xml:space="preserve">to </w:t>
            </w:r>
            <w:r w:rsidRPr="00B97126">
              <w:t>include the information required for an electronic prescription</w:t>
            </w:r>
            <w:r>
              <w:t xml:space="preserve"> for a Schedule II controlled substance</w:t>
            </w:r>
            <w:r w:rsidRPr="00B97126">
              <w:t xml:space="preserve">, </w:t>
            </w:r>
            <w:r w:rsidRPr="00B97126">
              <w:t>the signature of the practitioner, and the signature of the dispensing pharmacist after the prescription is filled.</w:t>
            </w:r>
            <w:r>
              <w:t xml:space="preserve"> </w:t>
            </w:r>
          </w:p>
          <w:p w:rsidR="001F0960" w:rsidRDefault="00197517" w:rsidP="00E01397">
            <w:pPr>
              <w:jc w:val="both"/>
            </w:pPr>
          </w:p>
          <w:p w:rsidR="000C4CF6" w:rsidRDefault="00197517" w:rsidP="00E01397">
            <w:pPr>
              <w:jc w:val="both"/>
            </w:pPr>
            <w:r>
              <w:t>C.S.H.B. 2174</w:t>
            </w:r>
            <w:r>
              <w:t xml:space="preserve"> </w:t>
            </w:r>
            <w:r>
              <w:t xml:space="preserve">requires the TSBP </w:t>
            </w:r>
            <w:r w:rsidRPr="006F7F4B">
              <w:t>by rule</w:t>
            </w:r>
            <w:r>
              <w:t xml:space="preserve"> to </w:t>
            </w:r>
            <w:r w:rsidRPr="00425178">
              <w:t>authorize a practitioner to determine whether it is necessary to obtain a particular patient id</w:t>
            </w:r>
            <w:r w:rsidRPr="00425178">
              <w:t>entification number and to provide that number on the official prescription form.</w:t>
            </w:r>
            <w:r>
              <w:t xml:space="preserve"> The bill r</w:t>
            </w:r>
            <w:r>
              <w:t xml:space="preserve">equires the TSBP, on request of a practitioner, to </w:t>
            </w:r>
            <w:r w:rsidRPr="00F3161A">
              <w:t>issue official prescription forms to the practitioner for a fee covering the actual cost of printing, processing,</w:t>
            </w:r>
            <w:r w:rsidRPr="00F3161A">
              <w:t xml:space="preserve"> and mailing the forms</w:t>
            </w:r>
            <w:r>
              <w:t xml:space="preserve"> and sets out </w:t>
            </w:r>
            <w:r>
              <w:t xml:space="preserve">requirements for </w:t>
            </w:r>
            <w:r>
              <w:t>the forms</w:t>
            </w:r>
            <w:r w:rsidRPr="00F3161A">
              <w:t>.</w:t>
            </w:r>
            <w:r>
              <w:t xml:space="preserve"> </w:t>
            </w:r>
            <w:r>
              <w:t>The bill prohibits a person from obtaining an official prescription form unless the person is a practitioner</w:t>
            </w:r>
            <w:r>
              <w:t xml:space="preserve"> or an institutional practitioner </w:t>
            </w:r>
            <w:r>
              <w:t xml:space="preserve">and </w:t>
            </w:r>
            <w:r>
              <w:t>limits the</w:t>
            </w:r>
            <w:r>
              <w:t xml:space="preserve"> number of</w:t>
            </w:r>
            <w:r>
              <w:t xml:space="preserve"> Schedule II prescriptions</w:t>
            </w:r>
            <w:r>
              <w:t xml:space="preserve"> that may be recorded on an official prescription form to one. </w:t>
            </w:r>
            <w:r>
              <w:t xml:space="preserve">The bill provides for the return of all unused official prescription forms by </w:t>
            </w:r>
            <w:r>
              <w:t>a practitioner</w:t>
            </w:r>
            <w:r>
              <w:t xml:space="preserve"> who no longer has a Federal Drug Enforcement Administration number</w:t>
            </w:r>
            <w:r>
              <w:t xml:space="preserve"> </w:t>
            </w:r>
            <w:r>
              <w:t xml:space="preserve">and </w:t>
            </w:r>
            <w:r>
              <w:t>sets out requirements for</w:t>
            </w:r>
            <w:r>
              <w:t xml:space="preserve"> each prescribing practitioner</w:t>
            </w:r>
            <w:r>
              <w:t xml:space="preserve"> regarding the forms. </w:t>
            </w:r>
          </w:p>
          <w:p w:rsidR="000C4CF6" w:rsidRDefault="00197517" w:rsidP="00E01397">
            <w:pPr>
              <w:jc w:val="both"/>
            </w:pPr>
          </w:p>
          <w:p w:rsidR="00580155" w:rsidRDefault="00197517" w:rsidP="00E01397">
            <w:pPr>
              <w:jc w:val="both"/>
            </w:pPr>
            <w:r>
              <w:t>C.S.H.B. 2174</w:t>
            </w:r>
            <w:r>
              <w:t xml:space="preserve"> requires a prescribing practitioner, in </w:t>
            </w:r>
            <w:r w:rsidRPr="00D547E0">
              <w:t>the case of an emergency oral or telephonically communicated prescription</w:t>
            </w:r>
            <w:r>
              <w:t xml:space="preserve">, to </w:t>
            </w:r>
            <w:r w:rsidRPr="00D547E0">
              <w:t>give the dispensing pharmacy the information needed to complete the of</w:t>
            </w:r>
            <w:r w:rsidRPr="00D547E0">
              <w:t>ficial prescription form if the pharmacy is not required to use the electronic prescription record</w:t>
            </w:r>
            <w:r>
              <w:t xml:space="preserve"> </w:t>
            </w:r>
            <w:r>
              <w:t xml:space="preserve">and </w:t>
            </w:r>
            <w:r>
              <w:t xml:space="preserve">sets out requirements for each </w:t>
            </w:r>
            <w:r>
              <w:t>dispensing pharmacist</w:t>
            </w:r>
            <w:r>
              <w:t xml:space="preserve"> receiving such </w:t>
            </w:r>
            <w:r w:rsidRPr="00D547E0">
              <w:t>an oral or telephonically communicated prescription</w:t>
            </w:r>
            <w:r>
              <w:t>.</w:t>
            </w:r>
            <w:r>
              <w:t xml:space="preserve"> The bill removes the authority o</w:t>
            </w:r>
            <w:r>
              <w:t>f the TSBP</w:t>
            </w:r>
            <w:r>
              <w:t xml:space="preserve"> by rule</w:t>
            </w:r>
            <w:r>
              <w:t xml:space="preserve"> to </w:t>
            </w:r>
            <w:r w:rsidRPr="00944342">
              <w:t>permit more than one prescription to be administered or dispensed and recorded on one prescription form for a Schedule III through V controlled substance</w:t>
            </w:r>
            <w:r>
              <w:t>.</w:t>
            </w:r>
            <w:r>
              <w:t xml:space="preserve"> The bill repeals provisions</w:t>
            </w:r>
            <w:r>
              <w:t xml:space="preserve"> relating to</w:t>
            </w:r>
            <w:r>
              <w:t xml:space="preserve"> </w:t>
            </w:r>
            <w:r>
              <w:t>dispensing a Schedule II controlled sub</w:t>
            </w:r>
            <w:r>
              <w:t xml:space="preserve">stance by </w:t>
            </w:r>
            <w:r>
              <w:t xml:space="preserve">a pharmacist </w:t>
            </w:r>
            <w:r w:rsidRPr="005105A5">
              <w:t>pursuant to a facsimile copy of an official prescription completed in the manner required by</w:t>
            </w:r>
            <w:r>
              <w:t xml:space="preserve"> the official prescription program </w:t>
            </w:r>
            <w:r>
              <w:t>under</w:t>
            </w:r>
            <w:r>
              <w:t xml:space="preserve"> </w:t>
            </w:r>
            <w:r>
              <w:t>t</w:t>
            </w:r>
            <w:r w:rsidRPr="00D90F33">
              <w:t>he Texas Controlled Substances Act</w:t>
            </w:r>
            <w:r>
              <w:t>.</w:t>
            </w:r>
          </w:p>
          <w:p w:rsidR="00580155" w:rsidRDefault="00197517" w:rsidP="00E01397">
            <w:pPr>
              <w:jc w:val="both"/>
            </w:pPr>
          </w:p>
          <w:p w:rsidR="00273F82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2174</w:t>
            </w:r>
            <w:r>
              <w:t xml:space="preserve"> </w:t>
            </w:r>
            <w:r>
              <w:t xml:space="preserve">authorizes </w:t>
            </w:r>
            <w:r>
              <w:t xml:space="preserve">the </w:t>
            </w:r>
            <w:r w:rsidRPr="00D547E0">
              <w:t>appropriate regulatory agency tha</w:t>
            </w:r>
            <w:r w:rsidRPr="00D547E0">
              <w:t xml:space="preserve">t issued the license, certification, or registration to a prescriber to grant </w:t>
            </w:r>
            <w:r>
              <w:t xml:space="preserve">to </w:t>
            </w:r>
            <w:r w:rsidRPr="00D547E0">
              <w:t>a prescriber a waiver from the</w:t>
            </w:r>
            <w:r>
              <w:t xml:space="preserve"> </w:t>
            </w:r>
            <w:r w:rsidRPr="00D547E0">
              <w:t>electronic prescribing requirement</w:t>
            </w:r>
            <w:r>
              <w:t xml:space="preserve">. The bill requires the TSBP to </w:t>
            </w:r>
            <w:r w:rsidRPr="00D547E0">
              <w:t>convene an interagency workgroup that includes representatives of each</w:t>
            </w:r>
            <w:r>
              <w:t xml:space="preserve"> such</w:t>
            </w:r>
            <w:r w:rsidRPr="00D547E0">
              <w:t xml:space="preserve"> </w:t>
            </w:r>
            <w:r>
              <w:t>ap</w:t>
            </w:r>
            <w:r>
              <w:t xml:space="preserve">propriate </w:t>
            </w:r>
            <w:r w:rsidRPr="00D547E0">
              <w:t xml:space="preserve">regulatory agency </w:t>
            </w:r>
            <w:r>
              <w:t>and requires the work</w:t>
            </w:r>
            <w:r>
              <w:t xml:space="preserve"> </w:t>
            </w:r>
            <w:r>
              <w:t xml:space="preserve">group to </w:t>
            </w:r>
            <w:r w:rsidRPr="00D547E0">
              <w:t>establish recommendations and standards for circumstances in which a waiver from the electronic prescribing requirement is appropriate and a process under which a prescriber may request and receive</w:t>
            </w:r>
            <w:r w:rsidRPr="00D547E0">
              <w:t xml:space="preserve"> a waiver.</w:t>
            </w:r>
            <w:r>
              <w:t xml:space="preserve"> The bill requires the TSBP to adopt rules establishing the eligibility for a waiver. The bill requires </w:t>
            </w:r>
            <w:r>
              <w:t xml:space="preserve">each </w:t>
            </w:r>
            <w:r>
              <w:t>agency</w:t>
            </w:r>
            <w:r>
              <w:t xml:space="preserve"> </w:t>
            </w:r>
            <w:r w:rsidRPr="00F868CD">
              <w:t>that issues a license, certification, or registration to a prescriber</w:t>
            </w:r>
            <w:r>
              <w:t xml:space="preserve"> to </w:t>
            </w:r>
            <w:r w:rsidRPr="00976676">
              <w:t xml:space="preserve">adopt rules for the granting of waivers consistent with the </w:t>
            </w:r>
            <w:r>
              <w:t>adopted TSBP</w:t>
            </w:r>
            <w:r w:rsidRPr="00976676">
              <w:t xml:space="preserve"> rules</w:t>
            </w:r>
            <w:r>
              <w:t>. The bill sets the expiration for a</w:t>
            </w:r>
            <w:r>
              <w:t>n issued</w:t>
            </w:r>
            <w:r>
              <w:t xml:space="preserve"> waiver at one year and authorizes </w:t>
            </w:r>
            <w:r>
              <w:t xml:space="preserve">a </w:t>
            </w:r>
            <w:r>
              <w:t xml:space="preserve">prescriber to </w:t>
            </w:r>
            <w:r w:rsidRPr="00976676">
              <w:t xml:space="preserve">reapply for a </w:t>
            </w:r>
            <w:r w:rsidRPr="004072D1">
              <w:t xml:space="preserve">subsequent waiver not earlier than the 30th day before the date </w:t>
            </w:r>
            <w:r>
              <w:t xml:space="preserve">the </w:t>
            </w:r>
            <w:r w:rsidRPr="00976676">
              <w:t>w</w:t>
            </w:r>
            <w:r w:rsidRPr="00976676">
              <w:t>aiver</w:t>
            </w:r>
            <w:r>
              <w:t xml:space="preserve"> expires</w:t>
            </w:r>
            <w:r w:rsidRPr="00976676">
              <w:t xml:space="preserve"> if the circumstances that necessitated the waiver continue</w:t>
            </w:r>
            <w:r>
              <w:t xml:space="preserve"> on </w:t>
            </w:r>
            <w:r>
              <w:t xml:space="preserve">its </w:t>
            </w:r>
            <w:r>
              <w:t>expiration.</w:t>
            </w:r>
            <w:r>
              <w:t xml:space="preserve"> </w:t>
            </w:r>
            <w:r>
              <w:t xml:space="preserve">The bill includes rules for administering </w:t>
            </w:r>
            <w:r>
              <w:t xml:space="preserve">the foregoing bill provisions </w:t>
            </w:r>
            <w:r w:rsidRPr="0003190D">
              <w:t>regarding written, oral, and telephonically communicated prescriptions and regarding waivers</w:t>
            </w:r>
            <w:r w:rsidRPr="0003190D">
              <w:t xml:space="preserve"> from electronic prescribing</w:t>
            </w:r>
            <w:r>
              <w:t xml:space="preserve"> among the rules </w:t>
            </w:r>
            <w:r>
              <w:t xml:space="preserve">the </w:t>
            </w:r>
            <w:r>
              <w:t xml:space="preserve">TSBP </w:t>
            </w:r>
            <w:r>
              <w:t>may adopt for purposes of the Texas Controlled Substances Act.</w:t>
            </w:r>
          </w:p>
          <w:p w:rsidR="00273F82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23251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2174</w:t>
            </w:r>
            <w:r w:rsidRPr="00A4307A">
              <w:t xml:space="preserve"> includes a violation of </w:t>
            </w:r>
            <w:r>
              <w:t>its</w:t>
            </w:r>
            <w:r w:rsidRPr="00A4307A">
              <w:t xml:space="preserve"> provisions</w:t>
            </w:r>
            <w:r>
              <w:t xml:space="preserve"> relating to written, oral, and telephonically communicated prescriptions</w:t>
            </w:r>
            <w:r w:rsidRPr="00A4307A">
              <w:t xml:space="preserve"> among the co</w:t>
            </w:r>
            <w:r w:rsidRPr="00A4307A">
              <w:t xml:space="preserve">nduct that constitutes an offense under the </w:t>
            </w:r>
            <w:r w:rsidRPr="003B02C2">
              <w:t xml:space="preserve">Texas Controlled Substances Act </w:t>
            </w:r>
            <w:r w:rsidRPr="00A4307A">
              <w:t xml:space="preserve">and </w:t>
            </w:r>
            <w:r>
              <w:t xml:space="preserve">expands the conduct that constitutes fraud under </w:t>
            </w:r>
            <w:r>
              <w:t>that act</w:t>
            </w:r>
            <w:r>
              <w:t xml:space="preserve"> to include possessing, obtaining, or attempting to possess or obtain a controlled substance or an increase</w:t>
            </w:r>
            <w:r>
              <w:t>d</w:t>
            </w:r>
            <w:r>
              <w:t xml:space="preserve"> quantity o</w:t>
            </w:r>
            <w:r>
              <w:t xml:space="preserve">f a controlled substance </w:t>
            </w:r>
            <w:r w:rsidRPr="00822464">
              <w:t>through the use of a fraudulent electronic prescription</w:t>
            </w:r>
            <w:r>
              <w:t>.</w:t>
            </w:r>
          </w:p>
          <w:p w:rsidR="00E23251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C350B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2174 </w:t>
            </w:r>
            <w:r>
              <w:t xml:space="preserve">redefines </w:t>
            </w:r>
            <w:r>
              <w:t>"</w:t>
            </w:r>
            <w:r>
              <w:t>designated agent</w:t>
            </w:r>
            <w:r>
              <w:t xml:space="preserve">" </w:t>
            </w:r>
            <w:r>
              <w:t xml:space="preserve">to limit the </w:t>
            </w:r>
            <w:r>
              <w:t xml:space="preserve">agent's </w:t>
            </w:r>
            <w:r>
              <w:t>activities to activity in an emergency and repeals related provisions</w:t>
            </w:r>
            <w:r>
              <w:t>. The bill</w:t>
            </w:r>
            <w:r>
              <w:t xml:space="preserve"> </w:t>
            </w:r>
            <w:r>
              <w:t>authorizes a</w:t>
            </w:r>
            <w:r>
              <w:t xml:space="preserve"> duly designated</w:t>
            </w:r>
            <w:r>
              <w:t xml:space="preserve"> </w:t>
            </w:r>
            <w:r>
              <w:t>agent to communicate a prescription by telephone</w:t>
            </w:r>
            <w:r>
              <w:t xml:space="preserve"> in an emergency</w:t>
            </w:r>
            <w:r>
              <w:t xml:space="preserve">. The bill requires a practitioner who designates a different agent to </w:t>
            </w:r>
            <w:r w:rsidRPr="009962E0">
              <w:t>designate that agent in writing and maintain the designation in the same manner in which the practitioner initially desig</w:t>
            </w:r>
            <w:r w:rsidRPr="009962E0">
              <w:t>nated an agent</w:t>
            </w:r>
            <w:r>
              <w:t>.</w:t>
            </w:r>
            <w:r>
              <w:t xml:space="preserve"> </w:t>
            </w:r>
            <w:r>
              <w:t xml:space="preserve">The bill requires a practitioner, on the request of a pharmacist, to </w:t>
            </w:r>
            <w:r w:rsidRPr="009962E0">
              <w:t>furnish a copy of the written designation</w:t>
            </w:r>
            <w:r>
              <w:t>.</w:t>
            </w:r>
            <w:r>
              <w:t xml:space="preserve"> The bill </w:t>
            </w:r>
            <w:r>
              <w:t>expressly</w:t>
            </w:r>
            <w:r>
              <w:t xml:space="preserve"> does not relieve a practitioner or </w:t>
            </w:r>
            <w:r>
              <w:t xml:space="preserve">the practitioner's </w:t>
            </w:r>
            <w:r>
              <w:t xml:space="preserve">designated agent from </w:t>
            </w:r>
            <w:r>
              <w:t xml:space="preserve">the </w:t>
            </w:r>
            <w:r>
              <w:t>prescription and substitution</w:t>
            </w:r>
            <w:r>
              <w:t xml:space="preserve"> requirements and </w:t>
            </w:r>
            <w:r>
              <w:t>makes</w:t>
            </w:r>
            <w:r>
              <w:t xml:space="preserve"> a practitioner personally responsible for the actions of the designated agent in communicating a prescription to a pharmacist.</w:t>
            </w:r>
            <w:r>
              <w:t xml:space="preserve"> </w:t>
            </w:r>
          </w:p>
          <w:p w:rsidR="008C350B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5247E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2174</w:t>
            </w:r>
            <w:r>
              <w:t xml:space="preserve"> remove</w:t>
            </w:r>
            <w:r>
              <w:t>s</w:t>
            </w:r>
            <w:r>
              <w:t xml:space="preserve"> the </w:t>
            </w:r>
            <w:r>
              <w:t xml:space="preserve">specified conditions </w:t>
            </w:r>
            <w:r>
              <w:t xml:space="preserve">under which the partial filling of a prescription for a </w:t>
            </w:r>
            <w:r>
              <w:t xml:space="preserve">Schedule II controlled substance is permissible and specifies that such a partial filling is permissible </w:t>
            </w:r>
            <w:r>
              <w:t xml:space="preserve">instead </w:t>
            </w:r>
            <w:r>
              <w:t>in accordance with applicable federal law.</w:t>
            </w:r>
            <w:r>
              <w:t xml:space="preserve"> </w:t>
            </w:r>
            <w:r>
              <w:t>The bill specifies that a patient</w:t>
            </w:r>
            <w:r>
              <w:t xml:space="preserve"> with a medical diagnosis documenting a terminal illness </w:t>
            </w:r>
            <w:r>
              <w:t xml:space="preserve">to whom a </w:t>
            </w:r>
            <w:r w:rsidRPr="00F64D8C">
              <w:t xml:space="preserve">prescription for a Schedule II controlled substance </w:t>
            </w:r>
            <w:r>
              <w:t xml:space="preserve">may </w:t>
            </w:r>
            <w:r w:rsidRPr="00F64D8C">
              <w:t>be filled in partial quantities</w:t>
            </w:r>
            <w:r>
              <w:t xml:space="preserve"> </w:t>
            </w:r>
            <w:r w:rsidRPr="00B53F26">
              <w:t>to include individual dosage units</w:t>
            </w:r>
            <w:r w:rsidRPr="00F64D8C">
              <w:t xml:space="preserve"> </w:t>
            </w:r>
            <w:r>
              <w:t>is a hospice patient.</w:t>
            </w:r>
          </w:p>
          <w:p w:rsidR="00E0374F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0374F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2174 requires a person authorized to receive</w:t>
            </w:r>
            <w:r>
              <w:t xml:space="preserve"> prescription </w:t>
            </w:r>
            <w:r>
              <w:t>history</w:t>
            </w:r>
            <w:r>
              <w:t xml:space="preserve"> information</w:t>
            </w:r>
            <w:r>
              <w:t xml:space="preserve">, </w:t>
            </w:r>
            <w:r w:rsidRPr="00E0374F">
              <w:t xml:space="preserve">not later than the </w:t>
            </w:r>
            <w:r w:rsidRPr="00E0374F">
              <w:t>first anniversary after the person is issued a license, certification, or registration to prescribe or dispense controlled substances under</w:t>
            </w:r>
            <w:r>
              <w:t xml:space="preserve"> the Texas Controlled Substances Act</w:t>
            </w:r>
            <w:r>
              <w:t xml:space="preserve">, to </w:t>
            </w:r>
            <w:r w:rsidRPr="00E0374F">
              <w:t xml:space="preserve">complete two hours of professional education related to approved procedures </w:t>
            </w:r>
            <w:r w:rsidRPr="00E0374F">
              <w:t>of prescribing and monitoring controlled substances</w:t>
            </w:r>
            <w:r>
              <w:t>.</w:t>
            </w:r>
            <w:r>
              <w:t xml:space="preserve"> The bill authorizes such </w:t>
            </w:r>
            <w:r>
              <w:t xml:space="preserve">a </w:t>
            </w:r>
            <w:r>
              <w:t xml:space="preserve">person to </w:t>
            </w:r>
            <w:r w:rsidRPr="00952F74">
              <w:t>annually take the professional education course to fulfil hours toward the ethics education requirement of the person's license, certification, or registration.</w:t>
            </w:r>
            <w:r>
              <w:t xml:space="preserve"> The b</w:t>
            </w:r>
            <w:r>
              <w:t xml:space="preserve">ill requires the </w:t>
            </w:r>
            <w:r w:rsidRPr="00952F74">
              <w:t>regulatory agency that issued the license, cer</w:t>
            </w:r>
            <w:r>
              <w:t>tification, or registration to the</w:t>
            </w:r>
            <w:r w:rsidRPr="00952F74">
              <w:t xml:space="preserve"> person</w:t>
            </w:r>
            <w:r>
              <w:t xml:space="preserve"> to </w:t>
            </w:r>
            <w:r w:rsidRPr="00952F74">
              <w:t>approve professional education to satisfy the</w:t>
            </w:r>
            <w:r>
              <w:t xml:space="preserve"> bill's continuing education</w:t>
            </w:r>
            <w:r w:rsidRPr="00952F74">
              <w:t xml:space="preserve"> requirements</w:t>
            </w:r>
            <w:r>
              <w:t>.</w:t>
            </w:r>
            <w:r>
              <w:t xml:space="preserve"> The bill requires a</w:t>
            </w:r>
            <w:r>
              <w:t xml:space="preserve"> person </w:t>
            </w:r>
            <w:r w:rsidRPr="006D57F9">
              <w:t xml:space="preserve">who holds a license, </w:t>
            </w:r>
            <w:r w:rsidRPr="006D57F9">
              <w:t>certification, or registration to prescribe or dispense a controlled substance issued before September 1, 2020</w:t>
            </w:r>
            <w:r>
              <w:t>,</w:t>
            </w:r>
            <w:r>
              <w:t xml:space="preserve"> to take the continuing education course not later than September 1, 2021.</w:t>
            </w:r>
          </w:p>
          <w:p w:rsidR="004F0657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0657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2174 prohibits a practitioner</w:t>
            </w:r>
            <w:r>
              <w:t>,</w:t>
            </w:r>
            <w:r>
              <w:t xml:space="preserve"> </w:t>
            </w:r>
            <w:r w:rsidRPr="008720F7">
              <w:t>for the treatment of acute pa</w:t>
            </w:r>
            <w:r w:rsidRPr="008720F7">
              <w:t>in</w:t>
            </w:r>
            <w:r>
              <w:t xml:space="preserve">, as defined by the bill, </w:t>
            </w:r>
            <w:r>
              <w:t xml:space="preserve">from issuing </w:t>
            </w:r>
            <w:r w:rsidRPr="008720F7">
              <w:t xml:space="preserve">a prescription for an opioid in an amount that exceeds a </w:t>
            </w:r>
            <w:r>
              <w:t>10</w:t>
            </w:r>
            <w:r w:rsidRPr="008720F7">
              <w:t>-day supply</w:t>
            </w:r>
            <w:r>
              <w:t xml:space="preserve"> or providing for a refill of an opioid</w:t>
            </w:r>
            <w:r w:rsidRPr="008720F7">
              <w:t>.</w:t>
            </w:r>
            <w:r>
              <w:t xml:space="preserve"> The bill makes this prohibition inapplicable</w:t>
            </w:r>
            <w:r w:rsidRPr="008720F7">
              <w:t xml:space="preserve"> to a prescription for an opioid approved by the </w:t>
            </w:r>
            <w:r>
              <w:t>U.S. Food a</w:t>
            </w:r>
            <w:r>
              <w:t xml:space="preserve">nd Drug Administration </w:t>
            </w:r>
            <w:r w:rsidRPr="008720F7">
              <w:t xml:space="preserve">for the treatment of substance addiction that is issued by a practitioner for </w:t>
            </w:r>
            <w:r>
              <w:t>such</w:t>
            </w:r>
            <w:r w:rsidRPr="008720F7">
              <w:t xml:space="preserve"> treatment.</w:t>
            </w:r>
            <w:r>
              <w:t xml:space="preserve"> A </w:t>
            </w:r>
            <w:r>
              <w:t>dispenser</w:t>
            </w:r>
            <w:r>
              <w:t xml:space="preserve"> is not subject to </w:t>
            </w:r>
            <w:r w:rsidRPr="00D0216D">
              <w:t>criminal, civil, or administrative penalties for dispensing or refusing to dispense a controlled substance un</w:t>
            </w:r>
            <w:r w:rsidRPr="00D0216D">
              <w:t>der a pres</w:t>
            </w:r>
            <w:r>
              <w:t xml:space="preserve">cription that exceeds the </w:t>
            </w:r>
            <w:r>
              <w:t>limits provided by the bill for treatment of acute pain.</w:t>
            </w:r>
            <w:r>
              <w:t xml:space="preserve"> The bill includes rules for administering the foregoing bill provisions </w:t>
            </w:r>
            <w:r w:rsidRPr="0003190D">
              <w:t>regarding continuing education and regarding opioid prescription limits</w:t>
            </w:r>
            <w:r>
              <w:t xml:space="preserve"> among the rules </w:t>
            </w:r>
            <w:r>
              <w:t>the</w:t>
            </w:r>
            <w:r>
              <w:t xml:space="preserve"> </w:t>
            </w:r>
            <w:r>
              <w:t>TSBP may adopt for purposes of the Texas Controlled Substances Act.</w:t>
            </w:r>
          </w:p>
          <w:p w:rsidR="00CF666E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95A8D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2174 amends the Human Resources Code to </w:t>
            </w:r>
            <w:r>
              <w:t>make</w:t>
            </w:r>
            <w:r>
              <w:t xml:space="preserve"> the </w:t>
            </w:r>
            <w:r w:rsidRPr="00E95A8D">
              <w:t xml:space="preserve">limits on prescription drugs and medications under </w:t>
            </w:r>
            <w:r>
              <w:t xml:space="preserve">Medicaid </w:t>
            </w:r>
            <w:r>
              <w:t xml:space="preserve">inapplicable </w:t>
            </w:r>
            <w:r w:rsidRPr="00E95A8D">
              <w:t>to a prescription for an opioid for the treatment of ac</w:t>
            </w:r>
            <w:r w:rsidRPr="00E95A8D">
              <w:t xml:space="preserve">ute pain </w:t>
            </w:r>
            <w:r>
              <w:t xml:space="preserve">prescribed </w:t>
            </w:r>
            <w:r w:rsidRPr="00E95A8D">
              <w:t>under</w:t>
            </w:r>
            <w:r>
              <w:t xml:space="preserve"> the bill's provisions</w:t>
            </w:r>
            <w:r w:rsidRPr="00E95A8D">
              <w:t>.</w:t>
            </w:r>
          </w:p>
          <w:p w:rsidR="008720F7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20F7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2174</w:t>
            </w:r>
            <w:r w:rsidRPr="00E95A8D">
              <w:t xml:space="preserve"> amends the Occupations Code to expand the grounds on which the</w:t>
            </w:r>
            <w:r>
              <w:t xml:space="preserve"> </w:t>
            </w:r>
            <w:r w:rsidRPr="00E95A8D">
              <w:t>TSBP may discipline an applicant or the holder of a nonresident pharmacy license</w:t>
            </w:r>
            <w:r>
              <w:t xml:space="preserve"> to include </w:t>
            </w:r>
            <w:r>
              <w:t xml:space="preserve">the </w:t>
            </w:r>
            <w:r w:rsidRPr="00E95A8D">
              <w:t>TSBP find</w:t>
            </w:r>
            <w:r>
              <w:t>ing</w:t>
            </w:r>
            <w:r w:rsidRPr="00E95A8D">
              <w:t xml:space="preserve"> that the applicant or license holder has failed to comply</w:t>
            </w:r>
            <w:r>
              <w:t xml:space="preserve"> with</w:t>
            </w:r>
            <w:r w:rsidRPr="00E95A8D">
              <w:t xml:space="preserve"> </w:t>
            </w:r>
            <w:r>
              <w:t xml:space="preserve">applicable </w:t>
            </w:r>
            <w:r w:rsidRPr="00E95A8D">
              <w:t>bil</w:t>
            </w:r>
            <w:r>
              <w:t>l</w:t>
            </w:r>
            <w:r w:rsidRPr="00E95A8D">
              <w:t xml:space="preserve"> provisions</w:t>
            </w:r>
            <w:r>
              <w:t>.</w:t>
            </w:r>
            <w:r>
              <w:t xml:space="preserve"> The bill authorizes </w:t>
            </w:r>
            <w:r>
              <w:t xml:space="preserve">the </w:t>
            </w:r>
            <w:r>
              <w:t xml:space="preserve">TSBP to adopt rules to administer its </w:t>
            </w:r>
            <w:r>
              <w:t xml:space="preserve">Texas Controlled Substances Act </w:t>
            </w:r>
            <w:r>
              <w:t xml:space="preserve">provisions regarding </w:t>
            </w:r>
            <w:r w:rsidRPr="0003190D">
              <w:t>written, oral, and telephonically communicated pr</w:t>
            </w:r>
            <w:r w:rsidRPr="0003190D">
              <w:t>escriptions</w:t>
            </w:r>
            <w:r>
              <w:t>,</w:t>
            </w:r>
            <w:r w:rsidRPr="0003190D">
              <w:t xml:space="preserve"> regarding waivers from electronic prescribing</w:t>
            </w:r>
            <w:r>
              <w:t>,</w:t>
            </w:r>
            <w:r w:rsidRPr="0003190D">
              <w:t xml:space="preserve"> regarding </w:t>
            </w:r>
            <w:r>
              <w:t xml:space="preserve">the applicable </w:t>
            </w:r>
            <w:r w:rsidRPr="0003190D">
              <w:t>continuing education</w:t>
            </w:r>
            <w:r>
              <w:t>,</w:t>
            </w:r>
            <w:r w:rsidRPr="0003190D">
              <w:t xml:space="preserve"> and regarding opioid prescription limits</w:t>
            </w:r>
            <w:r>
              <w:t>.</w:t>
            </w:r>
          </w:p>
          <w:p w:rsidR="0005247E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4B5C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2174 amends the Government Code to </w:t>
            </w:r>
            <w:r>
              <w:t>make conforming change</w:t>
            </w:r>
            <w:r>
              <w:t>s to state public information law</w:t>
            </w:r>
            <w:r>
              <w:t>.</w:t>
            </w:r>
          </w:p>
          <w:p w:rsidR="00845572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5572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2174 repeals the following provisions of the Health and Safety Code:</w:t>
            </w:r>
          </w:p>
          <w:p w:rsidR="00845572" w:rsidRDefault="00197517" w:rsidP="00E01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Pr="00845572">
              <w:t>481.073</w:t>
            </w:r>
          </w:p>
          <w:p w:rsidR="00845572" w:rsidRDefault="00197517" w:rsidP="00E01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>
              <w:t>s</w:t>
            </w:r>
            <w:r>
              <w:t xml:space="preserve"> </w:t>
            </w:r>
            <w:r w:rsidRPr="00845572">
              <w:t>481.074(o) and (p)</w:t>
            </w:r>
          </w:p>
          <w:p w:rsidR="00845572" w:rsidRDefault="00197517" w:rsidP="00E01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>
              <w:t>s</w:t>
            </w:r>
            <w:r>
              <w:t xml:space="preserve"> </w:t>
            </w:r>
            <w:r>
              <w:t>481.075(b)</w:t>
            </w:r>
            <w:r w:rsidRPr="0021784E">
              <w:t xml:space="preserve">, (c), </w:t>
            </w:r>
            <w:r w:rsidRPr="00845572">
              <w:t>(d), (f), (k), and (l)</w:t>
            </w:r>
          </w:p>
          <w:p w:rsidR="008423E4" w:rsidRPr="00835628" w:rsidRDefault="00197517" w:rsidP="00E01397">
            <w:pPr>
              <w:jc w:val="both"/>
              <w:rPr>
                <w:b/>
              </w:rPr>
            </w:pPr>
          </w:p>
        </w:tc>
      </w:tr>
      <w:tr w:rsidR="00752698" w:rsidTr="00FC5B45">
        <w:tc>
          <w:tcPr>
            <w:tcW w:w="9576" w:type="dxa"/>
          </w:tcPr>
          <w:p w:rsidR="008423E4" w:rsidRPr="00A8133F" w:rsidRDefault="00197517" w:rsidP="00E013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7517" w:rsidP="00E01397"/>
          <w:p w:rsidR="008423E4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D57F9">
              <w:t>September 1, 2019.</w:t>
            </w:r>
          </w:p>
          <w:p w:rsidR="00121C8E" w:rsidRPr="00233FDB" w:rsidRDefault="00197517" w:rsidP="00E013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52698" w:rsidTr="00FC5B45">
        <w:tc>
          <w:tcPr>
            <w:tcW w:w="9576" w:type="dxa"/>
          </w:tcPr>
          <w:p w:rsidR="00D93F6D" w:rsidRDefault="00197517" w:rsidP="00E013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21C8E" w:rsidRDefault="00197517" w:rsidP="00E01397">
            <w:pPr>
              <w:jc w:val="both"/>
            </w:pPr>
          </w:p>
          <w:p w:rsidR="00121C8E" w:rsidRDefault="00197517" w:rsidP="00E01397">
            <w:pPr>
              <w:jc w:val="both"/>
            </w:pPr>
            <w:r>
              <w:t xml:space="preserve">While </w:t>
            </w:r>
            <w:r>
              <w:t>C.S.H.B. 2174 may differ from the original in minor or nonsubstantive ways, the following summarizes the substantial differences between the introduced and committee substitute versions of the bill.</w:t>
            </w:r>
          </w:p>
          <w:p w:rsidR="00121C8E" w:rsidRDefault="00197517" w:rsidP="00E01397">
            <w:pPr>
              <w:jc w:val="both"/>
            </w:pPr>
          </w:p>
          <w:p w:rsidR="00121C8E" w:rsidRDefault="00197517" w:rsidP="00E01397">
            <w:pPr>
              <w:jc w:val="both"/>
            </w:pPr>
            <w:r>
              <w:t>The substitute</w:t>
            </w:r>
            <w:r>
              <w:t xml:space="preserve"> includes </w:t>
            </w:r>
            <w:r>
              <w:t xml:space="preserve">a </w:t>
            </w:r>
            <w:r w:rsidRPr="00B53F26">
              <w:t>specifi</w:t>
            </w:r>
            <w:r>
              <w:t xml:space="preserve">cation </w:t>
            </w:r>
            <w:r w:rsidRPr="00B53F26">
              <w:t>that a patient w</w:t>
            </w:r>
            <w:r w:rsidRPr="00B53F26">
              <w:t>ith a medical diagnosis documenting a terminal illness to whom a prescription for a Schedule II controlled substance may be filled in partial quantities to include individual dosage units is a hospice patient.</w:t>
            </w:r>
            <w:r>
              <w:t xml:space="preserve"> </w:t>
            </w:r>
          </w:p>
          <w:p w:rsidR="00121C8E" w:rsidRDefault="00197517" w:rsidP="00E01397">
            <w:pPr>
              <w:jc w:val="both"/>
            </w:pPr>
          </w:p>
          <w:p w:rsidR="00121C8E" w:rsidRDefault="00197517" w:rsidP="00E01397">
            <w:pPr>
              <w:jc w:val="both"/>
            </w:pPr>
            <w:r>
              <w:t xml:space="preserve">The substitute </w:t>
            </w:r>
            <w:r>
              <w:t>changes the date a prescriber</w:t>
            </w:r>
            <w:r>
              <w:t xml:space="preserve"> may reapply for a subsequent waiver from electronic prescribing from</w:t>
            </w:r>
            <w:r>
              <w:t xml:space="preserve"> the date</w:t>
            </w:r>
            <w:r>
              <w:t xml:space="preserve"> on</w:t>
            </w:r>
            <w:r>
              <w:t xml:space="preserve"> which</w:t>
            </w:r>
            <w:r>
              <w:t xml:space="preserve"> </w:t>
            </w:r>
            <w:r>
              <w:t xml:space="preserve">the waiver </w:t>
            </w:r>
            <w:r>
              <w:t>expir</w:t>
            </w:r>
            <w:r>
              <w:t>es</w:t>
            </w:r>
            <w:r>
              <w:t xml:space="preserve"> to not </w:t>
            </w:r>
            <w:r w:rsidRPr="00FB171D">
              <w:t xml:space="preserve">earlier than the 30th day before </w:t>
            </w:r>
            <w:r>
              <w:t>that</w:t>
            </w:r>
            <w:r w:rsidRPr="00FB171D">
              <w:t xml:space="preserve"> </w:t>
            </w:r>
            <w:r w:rsidRPr="00FB171D">
              <w:t>date</w:t>
            </w:r>
            <w:r>
              <w:t>.</w:t>
            </w:r>
          </w:p>
          <w:p w:rsidR="00FB171D" w:rsidRDefault="00197517" w:rsidP="00E01397">
            <w:pPr>
              <w:jc w:val="both"/>
            </w:pPr>
          </w:p>
          <w:p w:rsidR="00FB171D" w:rsidRDefault="00197517" w:rsidP="00E01397">
            <w:pPr>
              <w:jc w:val="both"/>
            </w:pPr>
            <w:r>
              <w:t xml:space="preserve">The substitute </w:t>
            </w:r>
            <w:r>
              <w:t>redefines</w:t>
            </w:r>
            <w:r>
              <w:t xml:space="preserve"> </w:t>
            </w:r>
            <w:r>
              <w:t>"</w:t>
            </w:r>
            <w:r>
              <w:t>acute pain</w:t>
            </w:r>
            <w:r>
              <w:t xml:space="preserve">" </w:t>
            </w:r>
            <w:r>
              <w:t>and</w:t>
            </w:r>
            <w:r>
              <w:t xml:space="preserve"> specifies the types of pain not included in the definit</w:t>
            </w:r>
            <w:r>
              <w:t xml:space="preserve">ion. </w:t>
            </w:r>
            <w:r>
              <w:t xml:space="preserve">The substitute does not include the specification that the </w:t>
            </w:r>
            <w:r>
              <w:t>treatment of acute pain for which an opioid prescription is limited is the initial treatment.</w:t>
            </w:r>
          </w:p>
          <w:p w:rsidR="007B080E" w:rsidRDefault="00197517" w:rsidP="00E01397">
            <w:pPr>
              <w:jc w:val="both"/>
            </w:pPr>
          </w:p>
          <w:p w:rsidR="007B080E" w:rsidRDefault="00197517" w:rsidP="00E01397">
            <w:pPr>
              <w:jc w:val="both"/>
            </w:pPr>
            <w:r>
              <w:t>The substitute increases the limit on a</w:t>
            </w:r>
            <w:r>
              <w:t>n opioid</w:t>
            </w:r>
            <w:r>
              <w:t xml:space="preserve"> prescription from a seven-day supply to a 10-day </w:t>
            </w:r>
            <w:r>
              <w:t>supply.</w:t>
            </w:r>
          </w:p>
          <w:p w:rsidR="00121C8E" w:rsidRPr="00121C8E" w:rsidRDefault="00197517" w:rsidP="00E01397">
            <w:pPr>
              <w:jc w:val="both"/>
            </w:pPr>
          </w:p>
        </w:tc>
      </w:tr>
      <w:tr w:rsidR="00752698" w:rsidTr="00FC5B45">
        <w:tc>
          <w:tcPr>
            <w:tcW w:w="9576" w:type="dxa"/>
          </w:tcPr>
          <w:p w:rsidR="00D93F6D" w:rsidRPr="009C1E9A" w:rsidRDefault="00197517" w:rsidP="00E01397">
            <w:pPr>
              <w:rPr>
                <w:b/>
                <w:u w:val="single"/>
              </w:rPr>
            </w:pPr>
          </w:p>
        </w:tc>
      </w:tr>
      <w:tr w:rsidR="00752698" w:rsidTr="00FC5B45">
        <w:tc>
          <w:tcPr>
            <w:tcW w:w="9576" w:type="dxa"/>
          </w:tcPr>
          <w:p w:rsidR="00D93F6D" w:rsidRPr="00D93F6D" w:rsidRDefault="00197517" w:rsidP="00E01397">
            <w:pPr>
              <w:jc w:val="both"/>
            </w:pPr>
          </w:p>
        </w:tc>
      </w:tr>
    </w:tbl>
    <w:p w:rsidR="004108C3" w:rsidRPr="006861F7" w:rsidRDefault="00197517" w:rsidP="008423E4">
      <w:pPr>
        <w:rPr>
          <w:sz w:val="18"/>
        </w:rPr>
      </w:pPr>
    </w:p>
    <w:sectPr w:rsidR="004108C3" w:rsidRPr="006861F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7517">
      <w:r>
        <w:separator/>
      </w:r>
    </w:p>
  </w:endnote>
  <w:endnote w:type="continuationSeparator" w:id="0">
    <w:p w:rsidR="00000000" w:rsidRDefault="0019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F8" w:rsidRDefault="0019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2698" w:rsidTr="009C1E9A">
      <w:trPr>
        <w:cantSplit/>
      </w:trPr>
      <w:tc>
        <w:tcPr>
          <w:tcW w:w="0" w:type="pct"/>
        </w:tcPr>
        <w:p w:rsidR="00137D90" w:rsidRDefault="001975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75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75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75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75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2698" w:rsidTr="009C1E9A">
      <w:trPr>
        <w:cantSplit/>
      </w:trPr>
      <w:tc>
        <w:tcPr>
          <w:tcW w:w="0" w:type="pct"/>
        </w:tcPr>
        <w:p w:rsidR="00EC379B" w:rsidRDefault="001975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75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26675</w:t>
          </w:r>
        </w:p>
      </w:tc>
      <w:tc>
        <w:tcPr>
          <w:tcW w:w="2453" w:type="pct"/>
        </w:tcPr>
        <w:p w:rsidR="00EC379B" w:rsidRDefault="001975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19.102.1420</w:t>
          </w:r>
          <w:r>
            <w:fldChar w:fldCharType="end"/>
          </w:r>
        </w:p>
      </w:tc>
    </w:tr>
    <w:tr w:rsidR="00752698" w:rsidTr="009C1E9A">
      <w:trPr>
        <w:cantSplit/>
      </w:trPr>
      <w:tc>
        <w:tcPr>
          <w:tcW w:w="0" w:type="pct"/>
        </w:tcPr>
        <w:p w:rsidR="00EC379B" w:rsidRDefault="001975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75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22101</w:t>
          </w:r>
        </w:p>
      </w:tc>
      <w:tc>
        <w:tcPr>
          <w:tcW w:w="2453" w:type="pct"/>
        </w:tcPr>
        <w:p w:rsidR="00EC379B" w:rsidRDefault="00197517" w:rsidP="006D504F">
          <w:pPr>
            <w:pStyle w:val="Footer"/>
            <w:rPr>
              <w:rStyle w:val="PageNumber"/>
            </w:rPr>
          </w:pPr>
        </w:p>
        <w:p w:rsidR="00EC379B" w:rsidRDefault="001975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26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75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1975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75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F8" w:rsidRDefault="00197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7517">
      <w:r>
        <w:separator/>
      </w:r>
    </w:p>
  </w:footnote>
  <w:footnote w:type="continuationSeparator" w:id="0">
    <w:p w:rsidR="00000000" w:rsidRDefault="0019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F8" w:rsidRDefault="0019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F8" w:rsidRDefault="00197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F8" w:rsidRDefault="0019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CA9"/>
    <w:multiLevelType w:val="hybridMultilevel"/>
    <w:tmpl w:val="75C68A24"/>
    <w:lvl w:ilvl="0" w:tplc="AEB4C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8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25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8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4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0B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4D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88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0E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C4C"/>
    <w:multiLevelType w:val="hybridMultilevel"/>
    <w:tmpl w:val="730AB0DE"/>
    <w:lvl w:ilvl="0" w:tplc="434080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30EBBC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1ADA2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65EE38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85C6C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93C890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35E288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BC90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AA2C1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183493"/>
    <w:multiLevelType w:val="hybridMultilevel"/>
    <w:tmpl w:val="360E4614"/>
    <w:lvl w:ilvl="0" w:tplc="C640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2F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2C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82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E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20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3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2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28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98"/>
    <w:rsid w:val="00197517"/>
    <w:rsid w:val="007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E7BDC4-D47F-4047-82B0-118FA65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4B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B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B5C"/>
    <w:rPr>
      <w:b/>
      <w:bCs/>
    </w:rPr>
  </w:style>
  <w:style w:type="paragraph" w:styleId="ListParagraph">
    <w:name w:val="List Paragraph"/>
    <w:basedOn w:val="Normal"/>
    <w:uiPriority w:val="34"/>
    <w:qFormat/>
    <w:rsid w:val="00A102AB"/>
    <w:pPr>
      <w:ind w:left="720"/>
      <w:contextualSpacing/>
    </w:pPr>
  </w:style>
  <w:style w:type="character" w:styleId="Hyperlink">
    <w:name w:val="Hyperlink"/>
    <w:basedOn w:val="DefaultParagraphFont"/>
    <w:unhideWhenUsed/>
    <w:rsid w:val="0079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11677</Characters>
  <Application>Microsoft Office Word</Application>
  <DocSecurity>4</DocSecurity>
  <Lines>213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HB02174 (Committee Report (Substituted))</vt:lpstr>
    </vt:vector>
  </TitlesOfParts>
  <Company>State of Texas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26675</dc:subject>
  <dc:creator>State of Texas</dc:creator>
  <dc:description>HB 2174 by Zerwas-(H)Public Health (Substitute Document Number: 86R 22101)</dc:description>
  <cp:lastModifiedBy>Scotty Wimberley</cp:lastModifiedBy>
  <cp:revision>2</cp:revision>
  <cp:lastPrinted>2019-03-11T19:59:00Z</cp:lastPrinted>
  <dcterms:created xsi:type="dcterms:W3CDTF">2019-04-16T21:11:00Z</dcterms:created>
  <dcterms:modified xsi:type="dcterms:W3CDTF">2019-04-16T21:11:00Z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19.102.1420</vt:lpwstr>
  </property>
</Properties>
</file>