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B77EB" w:rsidTr="00345119">
        <w:tc>
          <w:tcPr>
            <w:tcW w:w="9576" w:type="dxa"/>
            <w:noWrap/>
          </w:tcPr>
          <w:p w:rsidR="008423E4" w:rsidRPr="0022177D" w:rsidRDefault="004A22A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A22A6" w:rsidP="008423E4">
      <w:pPr>
        <w:jc w:val="center"/>
      </w:pPr>
    </w:p>
    <w:p w:rsidR="008423E4" w:rsidRPr="00B31F0E" w:rsidRDefault="004A22A6" w:rsidP="008423E4"/>
    <w:p w:rsidR="008423E4" w:rsidRPr="00742794" w:rsidRDefault="004A22A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B77EB" w:rsidTr="00345119">
        <w:tc>
          <w:tcPr>
            <w:tcW w:w="9576" w:type="dxa"/>
          </w:tcPr>
          <w:p w:rsidR="008423E4" w:rsidRPr="00861995" w:rsidRDefault="004A22A6" w:rsidP="00345119">
            <w:pPr>
              <w:jc w:val="right"/>
            </w:pPr>
            <w:r>
              <w:t>C.S.H.B. 2240</w:t>
            </w:r>
          </w:p>
        </w:tc>
      </w:tr>
      <w:tr w:rsidR="000B77EB" w:rsidTr="00345119">
        <w:tc>
          <w:tcPr>
            <w:tcW w:w="9576" w:type="dxa"/>
          </w:tcPr>
          <w:p w:rsidR="008423E4" w:rsidRPr="00861995" w:rsidRDefault="004A22A6" w:rsidP="009C4605">
            <w:pPr>
              <w:jc w:val="right"/>
            </w:pPr>
            <w:r>
              <w:t xml:space="preserve">By: </w:t>
            </w:r>
            <w:r>
              <w:t>Murphy</w:t>
            </w:r>
          </w:p>
        </w:tc>
      </w:tr>
      <w:tr w:rsidR="000B77EB" w:rsidTr="00345119">
        <w:tc>
          <w:tcPr>
            <w:tcW w:w="9576" w:type="dxa"/>
          </w:tcPr>
          <w:p w:rsidR="008423E4" w:rsidRPr="00861995" w:rsidRDefault="004A22A6" w:rsidP="00345119">
            <w:pPr>
              <w:jc w:val="right"/>
            </w:pPr>
            <w:r>
              <w:t>International Relations &amp; Economic Development</w:t>
            </w:r>
          </w:p>
        </w:tc>
      </w:tr>
      <w:tr w:rsidR="000B77EB" w:rsidTr="00345119">
        <w:tc>
          <w:tcPr>
            <w:tcW w:w="9576" w:type="dxa"/>
          </w:tcPr>
          <w:p w:rsidR="008423E4" w:rsidRDefault="004A22A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A22A6" w:rsidP="008423E4">
      <w:pPr>
        <w:tabs>
          <w:tab w:val="right" w:pos="9360"/>
        </w:tabs>
      </w:pPr>
    </w:p>
    <w:p w:rsidR="008423E4" w:rsidRDefault="004A22A6" w:rsidP="008423E4"/>
    <w:p w:rsidR="008423E4" w:rsidRDefault="004A22A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B77EB" w:rsidTr="00345119">
        <w:tc>
          <w:tcPr>
            <w:tcW w:w="9576" w:type="dxa"/>
          </w:tcPr>
          <w:p w:rsidR="008423E4" w:rsidRPr="00A8133F" w:rsidRDefault="004A22A6" w:rsidP="007A394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A22A6" w:rsidP="007A3946"/>
          <w:p w:rsidR="00AB61DF" w:rsidRDefault="004A22A6" w:rsidP="007A3946">
            <w:pPr>
              <w:pStyle w:val="Header"/>
              <w:jc w:val="both"/>
            </w:pPr>
            <w:r>
              <w:t xml:space="preserve">It has been reported that the payment of wages through </w:t>
            </w:r>
            <w:r>
              <w:t xml:space="preserve">payroll card accounts may be a beneficial option for employees without bank accounts, particularly during a natural disaster or other circumstances that make it difficult for such employees to collect physical checks. </w:t>
            </w:r>
            <w:r>
              <w:t>C.S.</w:t>
            </w:r>
            <w:r>
              <w:t>H.B. 2240 seeks to provide such an</w:t>
            </w:r>
            <w:r>
              <w:t xml:space="preserve"> option by </w:t>
            </w:r>
            <w:r>
              <w:t xml:space="preserve">authorizing employers to pay wages </w:t>
            </w:r>
            <w:r>
              <w:t>using</w:t>
            </w:r>
            <w:r>
              <w:t xml:space="preserve"> </w:t>
            </w:r>
            <w:r>
              <w:t xml:space="preserve">a payroll card account </w:t>
            </w:r>
            <w:r>
              <w:t>and setting out related requirements.</w:t>
            </w:r>
          </w:p>
          <w:p w:rsidR="008423E4" w:rsidRPr="00E26B13" w:rsidRDefault="004A22A6" w:rsidP="007A394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0B77EB" w:rsidTr="00345119">
        <w:tc>
          <w:tcPr>
            <w:tcW w:w="9576" w:type="dxa"/>
          </w:tcPr>
          <w:p w:rsidR="0017725B" w:rsidRDefault="004A22A6" w:rsidP="007A39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A22A6" w:rsidP="007A3946">
            <w:pPr>
              <w:rPr>
                <w:b/>
                <w:u w:val="single"/>
              </w:rPr>
            </w:pPr>
          </w:p>
          <w:p w:rsidR="00EB39F6" w:rsidRPr="00EB39F6" w:rsidRDefault="004A22A6" w:rsidP="007A3946">
            <w:pPr>
              <w:jc w:val="both"/>
            </w:pPr>
            <w:r>
              <w:t>It is the committee's opinion that this bill does not expressly create a criminal offense, increase the punishment f</w:t>
            </w:r>
            <w:r>
              <w:t>or an existing criminal offense or category of offenses, or change the eligibility of a person for community supervision, parole, or mandatory supervision.</w:t>
            </w:r>
          </w:p>
          <w:p w:rsidR="0017725B" w:rsidRPr="0017725B" w:rsidRDefault="004A22A6" w:rsidP="007A3946">
            <w:pPr>
              <w:rPr>
                <w:b/>
                <w:u w:val="single"/>
              </w:rPr>
            </w:pPr>
          </w:p>
        </w:tc>
      </w:tr>
      <w:tr w:rsidR="000B77EB" w:rsidTr="00345119">
        <w:tc>
          <w:tcPr>
            <w:tcW w:w="9576" w:type="dxa"/>
          </w:tcPr>
          <w:p w:rsidR="008423E4" w:rsidRPr="00A8133F" w:rsidRDefault="004A22A6" w:rsidP="007A394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A22A6" w:rsidP="007A3946"/>
          <w:p w:rsidR="00EB39F6" w:rsidRDefault="004A22A6" w:rsidP="007A39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4A22A6" w:rsidP="007A3946">
            <w:pPr>
              <w:rPr>
                <w:b/>
              </w:rPr>
            </w:pPr>
          </w:p>
        </w:tc>
      </w:tr>
      <w:tr w:rsidR="000B77EB" w:rsidTr="00345119">
        <w:tc>
          <w:tcPr>
            <w:tcW w:w="9576" w:type="dxa"/>
          </w:tcPr>
          <w:p w:rsidR="008423E4" w:rsidRPr="00A8133F" w:rsidRDefault="004A22A6" w:rsidP="007A394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A22A6" w:rsidP="007A3946"/>
          <w:p w:rsidR="009A2A6C" w:rsidRDefault="004A22A6" w:rsidP="007A39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2240 amends the </w:t>
            </w:r>
            <w:r w:rsidRPr="00EB39F6">
              <w:t>Labor Code</w:t>
            </w:r>
            <w:r>
              <w:t xml:space="preserve"> to authorize an employer to </w:t>
            </w:r>
            <w:r w:rsidRPr="00EB39F6">
              <w:t xml:space="preserve">elect to pay wages to an employee through a payroll card account plan that </w:t>
            </w:r>
            <w:r>
              <w:t xml:space="preserve">is linked to a federally insured financial institution and </w:t>
            </w:r>
            <w:r w:rsidRPr="00EB39F6">
              <w:t xml:space="preserve">uses electronic funds transfer to deposit wages in the </w:t>
            </w:r>
            <w:r>
              <w:t>employee's payroll card account</w:t>
            </w:r>
            <w:r w:rsidRPr="00DB5231">
              <w:t>.</w:t>
            </w:r>
            <w:r>
              <w:t xml:space="preserve"> </w:t>
            </w:r>
            <w:r>
              <w:t xml:space="preserve">The bill requires an employer </w:t>
            </w:r>
            <w:r w:rsidRPr="00EB39F6">
              <w:t xml:space="preserve">who </w:t>
            </w:r>
            <w:r>
              <w:t>elects</w:t>
            </w:r>
            <w:r w:rsidRPr="00EB39F6">
              <w:t xml:space="preserve"> </w:t>
            </w:r>
            <w:r w:rsidRPr="00EB39F6">
              <w:t xml:space="preserve">to pay wages through </w:t>
            </w:r>
            <w:r>
              <w:t>such an</w:t>
            </w:r>
            <w:r w:rsidRPr="00EB39F6">
              <w:t xml:space="preserve"> account</w:t>
            </w:r>
            <w:r>
              <w:t xml:space="preserve"> </w:t>
            </w:r>
            <w:r>
              <w:t xml:space="preserve">to </w:t>
            </w:r>
            <w:r>
              <w:t xml:space="preserve">do the following: </w:t>
            </w:r>
          </w:p>
          <w:p w:rsidR="000248FC" w:rsidRDefault="004A22A6" w:rsidP="007A394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EB39F6">
              <w:t>not later</w:t>
            </w:r>
            <w:r w:rsidRPr="00EB39F6">
              <w:t xml:space="preserve"> than</w:t>
            </w:r>
            <w:r>
              <w:t xml:space="preserve"> </w:t>
            </w:r>
            <w:r w:rsidRPr="00EB39F6">
              <w:t xml:space="preserve">the 60th day before the date of the first electronic funds transfer to the </w:t>
            </w:r>
            <w:r>
              <w:t xml:space="preserve">payroll card </w:t>
            </w:r>
            <w:r w:rsidRPr="00EB39F6">
              <w:t>account</w:t>
            </w:r>
            <w:r>
              <w:t xml:space="preserve"> of an affected employee or, for an employee </w:t>
            </w:r>
            <w:r w:rsidRPr="00EB39F6">
              <w:t>hired after the date the employer adopts the plan</w:t>
            </w:r>
            <w:r>
              <w:t xml:space="preserve">, not later than </w:t>
            </w:r>
            <w:r w:rsidRPr="00EB39F6">
              <w:t xml:space="preserve">the </w:t>
            </w:r>
            <w:r>
              <w:t xml:space="preserve">employee's </w:t>
            </w:r>
            <w:r w:rsidRPr="00EB39F6">
              <w:t>first day of work</w:t>
            </w:r>
            <w:r>
              <w:t>:</w:t>
            </w:r>
          </w:p>
          <w:p w:rsidR="009A2A6C" w:rsidRDefault="004A22A6" w:rsidP="007A3946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EB39F6">
              <w:t xml:space="preserve">notify </w:t>
            </w:r>
            <w:r>
              <w:t>the</w:t>
            </w:r>
            <w:r w:rsidRPr="00EB39F6">
              <w:t xml:space="preserve"> employee in writing </w:t>
            </w:r>
            <w:r>
              <w:t>regarding</w:t>
            </w:r>
            <w:r w:rsidRPr="00EB39F6">
              <w:t xml:space="preserve"> </w:t>
            </w:r>
            <w:r w:rsidRPr="00EB39F6">
              <w:t>the employer</w:t>
            </w:r>
            <w:r>
              <w:t>'s</w:t>
            </w:r>
            <w:r w:rsidRPr="00EB39F6">
              <w:t xml:space="preserve"> </w:t>
            </w:r>
            <w:r>
              <w:t>adoption of such</w:t>
            </w:r>
            <w:r>
              <w:t xml:space="preserve"> a</w:t>
            </w:r>
            <w:r w:rsidRPr="00EB39F6">
              <w:t xml:space="preserve"> plan</w:t>
            </w:r>
            <w:r>
              <w:t>;</w:t>
            </w:r>
          </w:p>
          <w:p w:rsidR="006403CD" w:rsidRDefault="004A22A6" w:rsidP="007A3946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EB39F6">
              <w:t xml:space="preserve">provide </w:t>
            </w:r>
            <w:r>
              <w:t xml:space="preserve">to the employee </w:t>
            </w:r>
            <w:r w:rsidRPr="00EB39F6">
              <w:t xml:space="preserve">a complete list of all fees </w:t>
            </w:r>
            <w:r w:rsidRPr="000248FC">
              <w:t>associated with the employee's account</w:t>
            </w:r>
            <w:r w:rsidRPr="00EB39F6">
              <w:t xml:space="preserve"> in English, or, if the employer offers a</w:t>
            </w:r>
            <w:r>
              <w:t>n</w:t>
            </w:r>
            <w:r w:rsidRPr="00EB39F6">
              <w:t xml:space="preserve"> account to an employee in a language other than Engl</w:t>
            </w:r>
            <w:r w:rsidRPr="00EB39F6">
              <w:t>ish, in that other language</w:t>
            </w:r>
            <w:r>
              <w:t>;</w:t>
            </w:r>
            <w:r>
              <w:t xml:space="preserve"> and </w:t>
            </w:r>
          </w:p>
          <w:p w:rsidR="000248FC" w:rsidRDefault="004A22A6" w:rsidP="007A3946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provide to the employee </w:t>
            </w:r>
            <w:r w:rsidRPr="00EB39F6">
              <w:t>a form the employee may use to request an alternate form of payment if the employee elects to opt out of the plan</w:t>
            </w:r>
            <w:r>
              <w:t>;</w:t>
            </w:r>
          </w:p>
          <w:p w:rsidR="009A2A6C" w:rsidRDefault="004A22A6" w:rsidP="007A394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EB39F6">
              <w:t xml:space="preserve">obtain from the employee any information required by the account issuer that is </w:t>
            </w:r>
            <w:r w:rsidRPr="00EB39F6">
              <w:t>necessary to implement the electronic funds transfer</w:t>
            </w:r>
            <w:r>
              <w:t>;</w:t>
            </w:r>
            <w:r>
              <w:t xml:space="preserve"> </w:t>
            </w:r>
            <w:r>
              <w:t>and</w:t>
            </w:r>
          </w:p>
          <w:p w:rsidR="00956BD8" w:rsidRDefault="004A22A6" w:rsidP="007A394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for an employee who requests an alternate form of payment, pay</w:t>
            </w:r>
            <w:r>
              <w:t xml:space="preserve"> the employee's wages in the alternate form</w:t>
            </w:r>
            <w:r>
              <w:t xml:space="preserve"> as soon as practicable but</w:t>
            </w:r>
            <w:r>
              <w:t xml:space="preserve"> not later than the first payday occurring after the 30th day afte</w:t>
            </w:r>
            <w:r>
              <w:t xml:space="preserve">r the employee requests the alternate form of payment. </w:t>
            </w:r>
          </w:p>
          <w:p w:rsidR="00956BD8" w:rsidRDefault="004A22A6" w:rsidP="007A394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</w:p>
          <w:p w:rsidR="001833A4" w:rsidRDefault="004A22A6" w:rsidP="007A394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</w:p>
          <w:p w:rsidR="008423E4" w:rsidRDefault="004A22A6" w:rsidP="007A394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C.S.H.B. 2240 clarifies</w:t>
            </w:r>
            <w:r>
              <w:t xml:space="preserve"> that an employer who pays wages to an employee by the electronic transfer of funds must transfer the funds to a financial institution designated by the employee or to a payroll card account. </w:t>
            </w:r>
          </w:p>
          <w:p w:rsidR="008423E4" w:rsidRPr="00835628" w:rsidRDefault="004A22A6" w:rsidP="007A3946">
            <w:pPr>
              <w:rPr>
                <w:b/>
              </w:rPr>
            </w:pPr>
          </w:p>
        </w:tc>
      </w:tr>
      <w:tr w:rsidR="000B77EB" w:rsidTr="00345119">
        <w:tc>
          <w:tcPr>
            <w:tcW w:w="9576" w:type="dxa"/>
          </w:tcPr>
          <w:p w:rsidR="008423E4" w:rsidRPr="00A8133F" w:rsidRDefault="004A22A6" w:rsidP="007A394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A22A6" w:rsidP="007A3946"/>
          <w:p w:rsidR="008423E4" w:rsidRPr="003624F2" w:rsidRDefault="004A22A6" w:rsidP="007A39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4A22A6" w:rsidP="007A3946">
            <w:pPr>
              <w:rPr>
                <w:b/>
              </w:rPr>
            </w:pPr>
          </w:p>
        </w:tc>
      </w:tr>
      <w:tr w:rsidR="000B77EB" w:rsidTr="00345119">
        <w:tc>
          <w:tcPr>
            <w:tcW w:w="9576" w:type="dxa"/>
          </w:tcPr>
          <w:p w:rsidR="009C4605" w:rsidRDefault="004A22A6" w:rsidP="007A394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ORIGINAL </w:t>
            </w:r>
            <w:r>
              <w:rPr>
                <w:b/>
                <w:u w:val="single"/>
              </w:rPr>
              <w:t>AND SUBSTITUTE</w:t>
            </w:r>
          </w:p>
          <w:p w:rsidR="00BC55CA" w:rsidRDefault="004A22A6" w:rsidP="007A3946">
            <w:pPr>
              <w:jc w:val="both"/>
            </w:pPr>
          </w:p>
          <w:p w:rsidR="00BC55CA" w:rsidRDefault="004A22A6" w:rsidP="007A3946">
            <w:pPr>
              <w:jc w:val="both"/>
            </w:pPr>
            <w:r>
              <w:t>While C.S.H.B. 2240 may differ from the original in minor or nonsubstantive ways, the following summarizes the substantial differences between the introduced and committee substitute versions of the bill.</w:t>
            </w:r>
          </w:p>
          <w:p w:rsidR="00BC55CA" w:rsidRDefault="004A22A6" w:rsidP="007A3946">
            <w:pPr>
              <w:jc w:val="both"/>
            </w:pPr>
          </w:p>
          <w:p w:rsidR="006403CD" w:rsidRDefault="004A22A6" w:rsidP="007A3946">
            <w:pPr>
              <w:jc w:val="both"/>
            </w:pPr>
            <w:r>
              <w:t xml:space="preserve">The substitute </w:t>
            </w:r>
            <w:r>
              <w:t xml:space="preserve">changes the </w:t>
            </w:r>
            <w:r>
              <w:t>type of</w:t>
            </w:r>
            <w:r>
              <w:t xml:space="preserve"> employee-designated account to which wages may be paid by electronic transfer </w:t>
            </w:r>
            <w:r>
              <w:t xml:space="preserve">from a bank account to a financial institution account </w:t>
            </w:r>
            <w:r>
              <w:t xml:space="preserve">and </w:t>
            </w:r>
            <w:r>
              <w:t>includes a</w:t>
            </w:r>
            <w:r>
              <w:t xml:space="preserve"> specification </w:t>
            </w:r>
            <w:r>
              <w:t>that</w:t>
            </w:r>
            <w:r>
              <w:t xml:space="preserve"> a</w:t>
            </w:r>
            <w:r>
              <w:t>n authorized</w:t>
            </w:r>
            <w:r>
              <w:t xml:space="preserve"> payroll </w:t>
            </w:r>
            <w:r>
              <w:t xml:space="preserve">card </w:t>
            </w:r>
            <w:r>
              <w:t xml:space="preserve">account </w:t>
            </w:r>
            <w:r>
              <w:t xml:space="preserve">plan </w:t>
            </w:r>
            <w:r>
              <w:t xml:space="preserve">is linked to a federally insured </w:t>
            </w:r>
            <w:r w:rsidRPr="001758C3">
              <w:t>financial insti</w:t>
            </w:r>
            <w:r w:rsidRPr="001758C3">
              <w:t>tution</w:t>
            </w:r>
            <w:r>
              <w:t>.</w:t>
            </w:r>
            <w:r>
              <w:t xml:space="preserve"> </w:t>
            </w:r>
          </w:p>
          <w:p w:rsidR="006403CD" w:rsidRDefault="004A22A6" w:rsidP="007A3946">
            <w:pPr>
              <w:jc w:val="both"/>
            </w:pPr>
          </w:p>
          <w:p w:rsidR="000A4A7E" w:rsidRDefault="004A22A6" w:rsidP="007A3946">
            <w:pPr>
              <w:jc w:val="both"/>
            </w:pPr>
            <w:r>
              <w:t xml:space="preserve">The substitute </w:t>
            </w:r>
            <w:r>
              <w:t xml:space="preserve">changes the fees that must be included on the fee list provided to an affected </w:t>
            </w:r>
            <w:r>
              <w:t>employee</w:t>
            </w:r>
            <w:r>
              <w:t xml:space="preserve"> by an employer using a payroll card account</w:t>
            </w:r>
            <w:r>
              <w:t xml:space="preserve"> </w:t>
            </w:r>
            <w:r>
              <w:t xml:space="preserve">plan </w:t>
            </w:r>
            <w:r>
              <w:t xml:space="preserve">and </w:t>
            </w:r>
            <w:r>
              <w:t>subjects the</w:t>
            </w:r>
            <w:r>
              <w:t xml:space="preserve"> requirement to provide such a list, as well as </w:t>
            </w:r>
            <w:r>
              <w:t xml:space="preserve">the requirement to provide a </w:t>
            </w:r>
            <w:r>
              <w:t>form the employee may use to request an alternate form of payment, to the same deadline as the requirement to notify each affected employee</w:t>
            </w:r>
            <w:r>
              <w:t xml:space="preserve"> </w:t>
            </w:r>
            <w:r>
              <w:t>regarding the adoption of</w:t>
            </w:r>
            <w:r>
              <w:t xml:space="preserve"> a payroll card account plan. </w:t>
            </w:r>
          </w:p>
          <w:p w:rsidR="000A4A7E" w:rsidRDefault="004A22A6" w:rsidP="007A3946">
            <w:pPr>
              <w:jc w:val="both"/>
            </w:pPr>
          </w:p>
          <w:p w:rsidR="00BC55CA" w:rsidRDefault="004A22A6" w:rsidP="007A3946">
            <w:pPr>
              <w:jc w:val="both"/>
            </w:pPr>
            <w:r>
              <w:t xml:space="preserve">The substitute includes a provision requiring </w:t>
            </w:r>
            <w:r>
              <w:t>an employer t</w:t>
            </w:r>
            <w:r>
              <w:t xml:space="preserve">hat uses </w:t>
            </w:r>
            <w:r>
              <w:t>a payroll card account plan</w:t>
            </w:r>
            <w:r>
              <w:t xml:space="preserve"> to pa</w:t>
            </w:r>
            <w:r>
              <w:t xml:space="preserve">y an employee's wages in an alternate form of payment by a certain deadline if the employee requests that alternate form of payment. </w:t>
            </w:r>
          </w:p>
          <w:p w:rsidR="00BC55CA" w:rsidRPr="00BC55CA" w:rsidRDefault="004A22A6" w:rsidP="007A3946">
            <w:pPr>
              <w:jc w:val="both"/>
            </w:pPr>
          </w:p>
        </w:tc>
      </w:tr>
      <w:tr w:rsidR="000B77EB" w:rsidTr="00345119">
        <w:tc>
          <w:tcPr>
            <w:tcW w:w="9576" w:type="dxa"/>
          </w:tcPr>
          <w:p w:rsidR="009C4605" w:rsidRPr="009C1E9A" w:rsidRDefault="004A22A6" w:rsidP="007A3946">
            <w:pPr>
              <w:rPr>
                <w:b/>
                <w:u w:val="single"/>
              </w:rPr>
            </w:pPr>
          </w:p>
        </w:tc>
      </w:tr>
      <w:tr w:rsidR="000B77EB" w:rsidTr="00345119">
        <w:tc>
          <w:tcPr>
            <w:tcW w:w="9576" w:type="dxa"/>
          </w:tcPr>
          <w:p w:rsidR="009C4605" w:rsidRPr="009C4605" w:rsidRDefault="004A22A6" w:rsidP="007A3946">
            <w:pPr>
              <w:jc w:val="both"/>
            </w:pPr>
          </w:p>
        </w:tc>
      </w:tr>
    </w:tbl>
    <w:p w:rsidR="008423E4" w:rsidRPr="00BE0E75" w:rsidRDefault="004A22A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A22A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A22A6">
      <w:r>
        <w:separator/>
      </w:r>
    </w:p>
  </w:endnote>
  <w:endnote w:type="continuationSeparator" w:id="0">
    <w:p w:rsidR="00000000" w:rsidRDefault="004A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A22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B77EB" w:rsidTr="009C1E9A">
      <w:trPr>
        <w:cantSplit/>
      </w:trPr>
      <w:tc>
        <w:tcPr>
          <w:tcW w:w="0" w:type="pct"/>
        </w:tcPr>
        <w:p w:rsidR="00137D90" w:rsidRDefault="004A22A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A22A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A22A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A22A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A22A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B77EB" w:rsidTr="009C1E9A">
      <w:trPr>
        <w:cantSplit/>
      </w:trPr>
      <w:tc>
        <w:tcPr>
          <w:tcW w:w="0" w:type="pct"/>
        </w:tcPr>
        <w:p w:rsidR="00EC379B" w:rsidRDefault="004A22A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A22A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24292</w:t>
          </w:r>
        </w:p>
      </w:tc>
      <w:tc>
        <w:tcPr>
          <w:tcW w:w="2453" w:type="pct"/>
        </w:tcPr>
        <w:p w:rsidR="00EC379B" w:rsidRDefault="004A22A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19.94.43</w:t>
          </w:r>
          <w:r>
            <w:fldChar w:fldCharType="end"/>
          </w:r>
        </w:p>
      </w:tc>
    </w:tr>
    <w:tr w:rsidR="000B77EB" w:rsidTr="009C1E9A">
      <w:trPr>
        <w:cantSplit/>
      </w:trPr>
      <w:tc>
        <w:tcPr>
          <w:tcW w:w="0" w:type="pct"/>
        </w:tcPr>
        <w:p w:rsidR="00EC379B" w:rsidRDefault="004A22A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A22A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20723</w:t>
          </w:r>
        </w:p>
      </w:tc>
      <w:tc>
        <w:tcPr>
          <w:tcW w:w="2453" w:type="pct"/>
        </w:tcPr>
        <w:p w:rsidR="00EC379B" w:rsidRDefault="004A22A6" w:rsidP="006D504F">
          <w:pPr>
            <w:pStyle w:val="Footer"/>
            <w:rPr>
              <w:rStyle w:val="PageNumber"/>
            </w:rPr>
          </w:pPr>
        </w:p>
        <w:p w:rsidR="00EC379B" w:rsidRDefault="004A22A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B77E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A22A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A22A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A22A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A2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A22A6">
      <w:r>
        <w:separator/>
      </w:r>
    </w:p>
  </w:footnote>
  <w:footnote w:type="continuationSeparator" w:id="0">
    <w:p w:rsidR="00000000" w:rsidRDefault="004A2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A22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A22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A22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676AA"/>
    <w:multiLevelType w:val="hybridMultilevel"/>
    <w:tmpl w:val="37BCB95C"/>
    <w:lvl w:ilvl="0" w:tplc="9C143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CC63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A28B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6097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ED1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06BE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C4C4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0837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F63F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EB"/>
    <w:rsid w:val="000B77EB"/>
    <w:rsid w:val="004A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5040A6-178C-44F1-B350-22688D01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7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71B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71BF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1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1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3348</Characters>
  <Application>Microsoft Office Word</Application>
  <DocSecurity>4</DocSecurity>
  <Lines>85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HB02240 (Committee Report (Substituted))</vt:lpstr>
    </vt:vector>
  </TitlesOfParts>
  <Company>State of Texas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24292</dc:subject>
  <dc:creator>State of Texas</dc:creator>
  <dc:description>HB 2240 by Murphy-(H)International Relations &amp; Economic Development (Substitute Document Number: 86R 20723)</dc:description>
  <cp:lastModifiedBy>Stacey Nicchio</cp:lastModifiedBy>
  <cp:revision>2</cp:revision>
  <cp:lastPrinted>2003-11-26T17:21:00Z</cp:lastPrinted>
  <dcterms:created xsi:type="dcterms:W3CDTF">2019-04-12T22:53:00Z</dcterms:created>
  <dcterms:modified xsi:type="dcterms:W3CDTF">2019-04-12T22:53:00Z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19.94.43</vt:lpwstr>
  </property>
</Properties>
</file>