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10A8" w:rsidTr="00345119">
        <w:tc>
          <w:tcPr>
            <w:tcW w:w="9576" w:type="dxa"/>
            <w:noWrap/>
          </w:tcPr>
          <w:p w:rsidR="008423E4" w:rsidRPr="0022177D" w:rsidRDefault="00295E6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5E6F" w:rsidP="008423E4">
      <w:pPr>
        <w:jc w:val="center"/>
      </w:pPr>
    </w:p>
    <w:p w:rsidR="008423E4" w:rsidRPr="00B31F0E" w:rsidRDefault="00295E6F" w:rsidP="008423E4"/>
    <w:p w:rsidR="008423E4" w:rsidRPr="00742794" w:rsidRDefault="00295E6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10A8" w:rsidTr="00345119">
        <w:tc>
          <w:tcPr>
            <w:tcW w:w="9576" w:type="dxa"/>
          </w:tcPr>
          <w:p w:rsidR="008423E4" w:rsidRPr="00861995" w:rsidRDefault="00295E6F" w:rsidP="00345119">
            <w:pPr>
              <w:jc w:val="right"/>
            </w:pPr>
            <w:r>
              <w:t>H.B. 2300</w:t>
            </w:r>
          </w:p>
        </w:tc>
      </w:tr>
      <w:tr w:rsidR="002110A8" w:rsidTr="00345119">
        <w:tc>
          <w:tcPr>
            <w:tcW w:w="9576" w:type="dxa"/>
          </w:tcPr>
          <w:p w:rsidR="008423E4" w:rsidRPr="00861995" w:rsidRDefault="00295E6F" w:rsidP="002B0C6B">
            <w:pPr>
              <w:jc w:val="right"/>
            </w:pPr>
            <w:r>
              <w:t xml:space="preserve">By: </w:t>
            </w:r>
            <w:r>
              <w:t>Morrison</w:t>
            </w:r>
          </w:p>
        </w:tc>
      </w:tr>
      <w:tr w:rsidR="002110A8" w:rsidTr="00345119">
        <w:tc>
          <w:tcPr>
            <w:tcW w:w="9576" w:type="dxa"/>
          </w:tcPr>
          <w:p w:rsidR="008423E4" w:rsidRPr="00861995" w:rsidRDefault="00295E6F" w:rsidP="00345119">
            <w:pPr>
              <w:jc w:val="right"/>
            </w:pPr>
            <w:r>
              <w:t>Appropriations</w:t>
            </w:r>
          </w:p>
        </w:tc>
      </w:tr>
      <w:tr w:rsidR="002110A8" w:rsidTr="00345119">
        <w:tc>
          <w:tcPr>
            <w:tcW w:w="9576" w:type="dxa"/>
          </w:tcPr>
          <w:p w:rsidR="008423E4" w:rsidRDefault="00295E6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95E6F" w:rsidP="008423E4">
      <w:pPr>
        <w:tabs>
          <w:tab w:val="right" w:pos="9360"/>
        </w:tabs>
      </w:pPr>
    </w:p>
    <w:p w:rsidR="008423E4" w:rsidRDefault="00295E6F" w:rsidP="008423E4"/>
    <w:p w:rsidR="008423E4" w:rsidRDefault="00295E6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110A8" w:rsidTr="00345119">
        <w:tc>
          <w:tcPr>
            <w:tcW w:w="9576" w:type="dxa"/>
          </w:tcPr>
          <w:p w:rsidR="008423E4" w:rsidRPr="00A8133F" w:rsidRDefault="00295E6F" w:rsidP="00FF18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5E6F" w:rsidP="00FF18C9"/>
          <w:p w:rsidR="008423E4" w:rsidRDefault="00295E6F" w:rsidP="00FF18C9">
            <w:pPr>
              <w:pStyle w:val="Header"/>
              <w:jc w:val="both"/>
            </w:pPr>
            <w:r>
              <w:t xml:space="preserve">It has been noted that during the recovery efforts for Hurricane Harvey, many economically limited areas were devastated not only </w:t>
            </w:r>
            <w:r>
              <w:t>physically, but financially</w:t>
            </w:r>
            <w:r>
              <w:t xml:space="preserve"> as well</w:t>
            </w:r>
            <w:r>
              <w:t>. H.B. 2300 seeks to address this issue by establishing a disaster recovery loan program</w:t>
            </w:r>
            <w:r>
              <w:t xml:space="preserve"> for </w:t>
            </w:r>
            <w:r>
              <w:t xml:space="preserve">certain </w:t>
            </w:r>
            <w:r>
              <w:t>qualifying political subdivisions</w:t>
            </w:r>
            <w:r>
              <w:t>.</w:t>
            </w:r>
          </w:p>
          <w:p w:rsidR="001946FB" w:rsidRPr="00E26B13" w:rsidRDefault="00295E6F" w:rsidP="00FF18C9">
            <w:pPr>
              <w:pStyle w:val="Header"/>
              <w:jc w:val="both"/>
              <w:rPr>
                <w:b/>
              </w:rPr>
            </w:pPr>
          </w:p>
        </w:tc>
      </w:tr>
      <w:tr w:rsidR="002110A8" w:rsidTr="00345119">
        <w:tc>
          <w:tcPr>
            <w:tcW w:w="9576" w:type="dxa"/>
          </w:tcPr>
          <w:p w:rsidR="0017725B" w:rsidRDefault="00295E6F" w:rsidP="00FF18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95E6F" w:rsidP="00FF18C9">
            <w:pPr>
              <w:rPr>
                <w:b/>
                <w:u w:val="single"/>
              </w:rPr>
            </w:pPr>
          </w:p>
          <w:p w:rsidR="00FD7609" w:rsidRPr="00FD7609" w:rsidRDefault="00295E6F" w:rsidP="00FF18C9">
            <w:pPr>
              <w:jc w:val="both"/>
            </w:pPr>
            <w:r>
              <w:t>It is the committee's opinion that this bill does not expr</w:t>
            </w:r>
            <w:r>
              <w:t>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95E6F" w:rsidP="00FF18C9">
            <w:pPr>
              <w:rPr>
                <w:b/>
                <w:u w:val="single"/>
              </w:rPr>
            </w:pPr>
          </w:p>
        </w:tc>
      </w:tr>
      <w:tr w:rsidR="002110A8" w:rsidTr="00345119">
        <w:tc>
          <w:tcPr>
            <w:tcW w:w="9576" w:type="dxa"/>
          </w:tcPr>
          <w:p w:rsidR="008423E4" w:rsidRPr="00A8133F" w:rsidRDefault="00295E6F" w:rsidP="00FF18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5E6F" w:rsidP="00FF18C9"/>
          <w:p w:rsidR="00FD7609" w:rsidRDefault="00295E6F" w:rsidP="00FF1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Texas Division of Emergency Management</w:t>
            </w:r>
            <w:r>
              <w:t xml:space="preserve"> in </w:t>
            </w:r>
            <w:r>
              <w:t>SECTION 1</w:t>
            </w:r>
            <w:r>
              <w:t xml:space="preserve"> of this bill.</w:t>
            </w:r>
          </w:p>
          <w:p w:rsidR="008423E4" w:rsidRPr="00E21FDC" w:rsidRDefault="00295E6F" w:rsidP="00FF18C9">
            <w:pPr>
              <w:rPr>
                <w:b/>
              </w:rPr>
            </w:pPr>
          </w:p>
        </w:tc>
      </w:tr>
      <w:tr w:rsidR="002110A8" w:rsidTr="00345119">
        <w:tc>
          <w:tcPr>
            <w:tcW w:w="9576" w:type="dxa"/>
          </w:tcPr>
          <w:p w:rsidR="008423E4" w:rsidRPr="00A8133F" w:rsidRDefault="00295E6F" w:rsidP="00FF18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5E6F" w:rsidP="00FF18C9"/>
          <w:p w:rsidR="004E3E67" w:rsidRDefault="00295E6F" w:rsidP="00FF1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2300 amends the Government Code to </w:t>
            </w:r>
            <w:r>
              <w:t>create the disaster recovery loan account</w:t>
            </w:r>
            <w:r>
              <w:t xml:space="preserve"> as an account in the general revenue fund with the comptroller of public accounts, to be administered by</w:t>
            </w:r>
            <w:r>
              <w:t xml:space="preserve"> the Texas Division of Emergency Management</w:t>
            </w:r>
            <w:r>
              <w:t xml:space="preserve"> (TDEM)</w:t>
            </w:r>
            <w:r>
              <w:t xml:space="preserve"> </w:t>
            </w:r>
            <w:r>
              <w:t>for the purpose of</w:t>
            </w:r>
            <w:r>
              <w:t xml:space="preserve"> provid</w:t>
            </w:r>
            <w:r>
              <w:t>ing</w:t>
            </w:r>
            <w:r>
              <w:t xml:space="preserve"> short</w:t>
            </w:r>
            <w:r>
              <w:noBreakHyphen/>
            </w:r>
            <w:r>
              <w:t xml:space="preserve">term loans to </w:t>
            </w:r>
            <w:r>
              <w:t>eligible</w:t>
            </w:r>
            <w:r>
              <w:t xml:space="preserve"> political subdivisions. The bill </w:t>
            </w:r>
            <w:r>
              <w:t xml:space="preserve">provides </w:t>
            </w:r>
            <w:r>
              <w:t>for</w:t>
            </w:r>
            <w:r>
              <w:t xml:space="preserve"> the account's composition and requires TDEM</w:t>
            </w:r>
            <w:r>
              <w:t xml:space="preserve"> to establish </w:t>
            </w:r>
            <w:r>
              <w:t xml:space="preserve">by rule </w:t>
            </w:r>
            <w:r>
              <w:t xml:space="preserve">a </w:t>
            </w:r>
            <w:r w:rsidRPr="00BD6A70">
              <w:t>loa</w:t>
            </w:r>
            <w:r>
              <w:t xml:space="preserve">n program to use money from </w:t>
            </w:r>
            <w:r>
              <w:t>the</w:t>
            </w:r>
            <w:r>
              <w:t xml:space="preserve"> </w:t>
            </w:r>
            <w:r>
              <w:t xml:space="preserve">account </w:t>
            </w:r>
            <w:r w:rsidRPr="00BD6A70">
              <w:t xml:space="preserve">to provide </w:t>
            </w:r>
            <w:r>
              <w:t xml:space="preserve">those </w:t>
            </w:r>
            <w:r w:rsidRPr="00BD6A70">
              <w:t>short-term loans</w:t>
            </w:r>
            <w:r>
              <w:t>.</w:t>
            </w:r>
            <w:r>
              <w:t xml:space="preserve"> The bill </w:t>
            </w:r>
            <w:r>
              <w:t>makes a political subdivision</w:t>
            </w:r>
            <w:r>
              <w:t xml:space="preserve"> </w:t>
            </w:r>
            <w:r>
              <w:t xml:space="preserve">that is located wholly or partly in a declared disaster area and </w:t>
            </w:r>
            <w:r>
              <w:t>tha</w:t>
            </w:r>
            <w:r>
              <w:t xml:space="preserve">t submits certain </w:t>
            </w:r>
            <w:r>
              <w:t>information</w:t>
            </w:r>
            <w:r>
              <w:t xml:space="preserve"> </w:t>
            </w:r>
            <w:r>
              <w:t xml:space="preserve">eligible </w:t>
            </w:r>
            <w:r>
              <w:t xml:space="preserve">to apply to TDEM </w:t>
            </w:r>
            <w:r>
              <w:t>for such a</w:t>
            </w:r>
            <w:r>
              <w:t xml:space="preserve"> </w:t>
            </w:r>
            <w:r>
              <w:t xml:space="preserve">loan </w:t>
            </w:r>
            <w:r>
              <w:t>if</w:t>
            </w:r>
            <w:r>
              <w:t xml:space="preserve"> </w:t>
            </w:r>
            <w:r>
              <w:t>an assessment of damages due to the</w:t>
            </w:r>
            <w:r>
              <w:t xml:space="preserve"> declared</w:t>
            </w:r>
            <w:r>
              <w:t xml:space="preserve"> disaster has been conducted in the political subdivision and</w:t>
            </w:r>
            <w:r>
              <w:t xml:space="preserve"> </w:t>
            </w:r>
            <w:r>
              <w:t>TDEM</w:t>
            </w:r>
            <w:r>
              <w:t xml:space="preserve">, in consultation with </w:t>
            </w:r>
            <w:r>
              <w:t>FEMA</w:t>
            </w:r>
            <w:r>
              <w:t>, determines that the estimated cost to rebu</w:t>
            </w:r>
            <w:r>
              <w:t xml:space="preserve">ild the </w:t>
            </w:r>
            <w:r>
              <w:t>damaged</w:t>
            </w:r>
            <w:r>
              <w:t xml:space="preserve"> infrastructure is greater than 50 percent of the political subdivision's total revenue for the current year as shown in </w:t>
            </w:r>
            <w:r>
              <w:t>its</w:t>
            </w:r>
            <w:r>
              <w:t xml:space="preserve"> </w:t>
            </w:r>
            <w:r>
              <w:t xml:space="preserve">most recent operating budget submitted to </w:t>
            </w:r>
            <w:r>
              <w:t>TDEM</w:t>
            </w:r>
            <w:r>
              <w:t>.</w:t>
            </w:r>
            <w:r>
              <w:t xml:space="preserve"> </w:t>
            </w:r>
          </w:p>
          <w:p w:rsidR="004E3E67" w:rsidRDefault="00295E6F" w:rsidP="00FF1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95E6F" w:rsidP="00FF1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2300 sets out the conditions to which </w:t>
            </w:r>
            <w:r>
              <w:t>a</w:t>
            </w:r>
            <w:r>
              <w:t xml:space="preserve"> loan </w:t>
            </w:r>
            <w:r>
              <w:t>made from the ac</w:t>
            </w:r>
            <w:r>
              <w:t xml:space="preserve">count </w:t>
            </w:r>
            <w:r>
              <w:t xml:space="preserve">must be subjected and </w:t>
            </w:r>
            <w:r>
              <w:t xml:space="preserve">requires the comptroller to credit to the account all principal and interest payments on a loan. The bill </w:t>
            </w:r>
            <w:r>
              <w:t xml:space="preserve">provides for a required limited audit conducted by </w:t>
            </w:r>
            <w:r>
              <w:t xml:space="preserve">the state auditor </w:t>
            </w:r>
            <w:r>
              <w:t>for</w:t>
            </w:r>
            <w:r>
              <w:t xml:space="preserve"> a loan </w:t>
            </w:r>
            <w:r>
              <w:t xml:space="preserve">with a term exceeding two years </w:t>
            </w:r>
            <w:r w:rsidRPr="00BF1BA3">
              <w:t xml:space="preserve">to determine whether </w:t>
            </w:r>
            <w:r>
              <w:t>the</w:t>
            </w:r>
            <w:r>
              <w:t xml:space="preserve"> political subdivision</w:t>
            </w:r>
            <w:r w:rsidRPr="00BF1BA3">
              <w:t xml:space="preserve"> has the ability to repay the </w:t>
            </w:r>
            <w:r>
              <w:t xml:space="preserve">loan under the </w:t>
            </w:r>
            <w:r>
              <w:t xml:space="preserve">loan </w:t>
            </w:r>
            <w:r>
              <w:t>terms</w:t>
            </w:r>
            <w:r>
              <w:t xml:space="preserve"> and for the forgiveness of the loan</w:t>
            </w:r>
            <w:r>
              <w:t xml:space="preserve"> </w:t>
            </w:r>
            <w:r>
              <w:t xml:space="preserve">by </w:t>
            </w:r>
            <w:r>
              <w:t xml:space="preserve">TDEM </w:t>
            </w:r>
            <w:r>
              <w:t xml:space="preserve">on </w:t>
            </w:r>
            <w:r>
              <w:t>the state auditor's</w:t>
            </w:r>
            <w:r>
              <w:t xml:space="preserve"> </w:t>
            </w:r>
            <w:r>
              <w:t>determination that the</w:t>
            </w:r>
            <w:r>
              <w:t xml:space="preserve"> political</w:t>
            </w:r>
            <w:r>
              <w:t xml:space="preserve"> subdivision</w:t>
            </w:r>
            <w:r>
              <w:t xml:space="preserve"> is unable to repay</w:t>
            </w:r>
            <w:r>
              <w:t xml:space="preserve"> the loan</w:t>
            </w:r>
            <w:r>
              <w:t xml:space="preserve">. The bill </w:t>
            </w:r>
            <w:r>
              <w:t>subj</w:t>
            </w:r>
            <w:r>
              <w:t>ects the state auditor's participation in the audi</w:t>
            </w:r>
            <w:r>
              <w:t xml:space="preserve">t </w:t>
            </w:r>
            <w:r>
              <w:t xml:space="preserve">to approval by the legislative audit committee for inclusion in the </w:t>
            </w:r>
            <w:r>
              <w:t xml:space="preserve">state </w:t>
            </w:r>
            <w:r>
              <w:t xml:space="preserve">audit plan. </w:t>
            </w:r>
            <w:r>
              <w:t xml:space="preserve">The bill </w:t>
            </w:r>
            <w:r>
              <w:t xml:space="preserve">requires TDEM to develop and implement a loan application process and sets out the required minimum contents </w:t>
            </w:r>
            <w:r>
              <w:t>of the loan application.</w:t>
            </w:r>
            <w:r>
              <w:t xml:space="preserve"> The bill requires TDEM to adopt rules to implement and administer the bill's provisions and requires the rules to include </w:t>
            </w:r>
            <w:r w:rsidRPr="00FD7609">
              <w:t>the development of a form on which a political subdivision may electronically submit its budget to TDEM</w:t>
            </w:r>
            <w:r>
              <w:t>.</w:t>
            </w:r>
          </w:p>
          <w:p w:rsidR="00282D10" w:rsidRDefault="00295E6F" w:rsidP="00FF1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82D10" w:rsidRDefault="00295E6F" w:rsidP="00FF1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</w:t>
            </w:r>
            <w:r>
              <w:t xml:space="preserve">. 2300 </w:t>
            </w:r>
            <w:r>
              <w:t>appropriates</w:t>
            </w:r>
            <w:r>
              <w:t xml:space="preserve"> $60 million </w:t>
            </w:r>
            <w:r>
              <w:t xml:space="preserve">to the disaster recovery loan account </w:t>
            </w:r>
            <w:r>
              <w:t>from the general revenue fund for the</w:t>
            </w:r>
            <w:r>
              <w:t xml:space="preserve"> </w:t>
            </w:r>
            <w:r>
              <w:t>2020-</w:t>
            </w:r>
            <w:r>
              <w:t>2021</w:t>
            </w:r>
            <w:r>
              <w:t xml:space="preserve"> state fiscal biennium</w:t>
            </w:r>
            <w:r>
              <w:t xml:space="preserve">. </w:t>
            </w:r>
          </w:p>
          <w:p w:rsidR="008423E4" w:rsidRPr="00835628" w:rsidRDefault="00295E6F" w:rsidP="00FF18C9">
            <w:pPr>
              <w:rPr>
                <w:b/>
              </w:rPr>
            </w:pPr>
          </w:p>
        </w:tc>
      </w:tr>
      <w:tr w:rsidR="002110A8" w:rsidTr="00345119">
        <w:tc>
          <w:tcPr>
            <w:tcW w:w="9576" w:type="dxa"/>
          </w:tcPr>
          <w:p w:rsidR="008423E4" w:rsidRPr="00A8133F" w:rsidRDefault="00295E6F" w:rsidP="00FF18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95E6F" w:rsidP="00FF18C9"/>
          <w:p w:rsidR="008423E4" w:rsidRPr="003624F2" w:rsidRDefault="00295E6F" w:rsidP="00FF1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95E6F" w:rsidP="00FF18C9">
            <w:pPr>
              <w:rPr>
                <w:b/>
              </w:rPr>
            </w:pPr>
          </w:p>
        </w:tc>
      </w:tr>
    </w:tbl>
    <w:p w:rsidR="008423E4" w:rsidRPr="00BE0E75" w:rsidRDefault="00295E6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95E6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5E6F">
      <w:r>
        <w:separator/>
      </w:r>
    </w:p>
  </w:endnote>
  <w:endnote w:type="continuationSeparator" w:id="0">
    <w:p w:rsidR="00000000" w:rsidRDefault="0029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5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10A8" w:rsidTr="009C1E9A">
      <w:trPr>
        <w:cantSplit/>
      </w:trPr>
      <w:tc>
        <w:tcPr>
          <w:tcW w:w="0" w:type="pct"/>
        </w:tcPr>
        <w:p w:rsidR="00137D90" w:rsidRDefault="00295E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5E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5E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5E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5E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10A8" w:rsidTr="009C1E9A">
      <w:trPr>
        <w:cantSplit/>
      </w:trPr>
      <w:tc>
        <w:tcPr>
          <w:tcW w:w="0" w:type="pct"/>
        </w:tcPr>
        <w:p w:rsidR="00EC379B" w:rsidRDefault="00295E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5E6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24715</w:t>
          </w:r>
        </w:p>
      </w:tc>
      <w:tc>
        <w:tcPr>
          <w:tcW w:w="2453" w:type="pct"/>
        </w:tcPr>
        <w:p w:rsidR="00EC379B" w:rsidRDefault="00295E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19.96.1091</w:t>
          </w:r>
          <w:r>
            <w:fldChar w:fldCharType="end"/>
          </w:r>
        </w:p>
      </w:tc>
    </w:tr>
    <w:tr w:rsidR="002110A8" w:rsidTr="009C1E9A">
      <w:trPr>
        <w:cantSplit/>
      </w:trPr>
      <w:tc>
        <w:tcPr>
          <w:tcW w:w="0" w:type="pct"/>
        </w:tcPr>
        <w:p w:rsidR="00EC379B" w:rsidRDefault="00295E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5E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95E6F" w:rsidP="006D504F">
          <w:pPr>
            <w:pStyle w:val="Footer"/>
            <w:rPr>
              <w:rStyle w:val="PageNumber"/>
            </w:rPr>
          </w:pPr>
        </w:p>
        <w:p w:rsidR="00EC379B" w:rsidRDefault="00295E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10A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5E6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95E6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5E6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5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5E6F">
      <w:r>
        <w:separator/>
      </w:r>
    </w:p>
  </w:footnote>
  <w:footnote w:type="continuationSeparator" w:id="0">
    <w:p w:rsidR="00000000" w:rsidRDefault="0029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5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5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5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40AE"/>
    <w:multiLevelType w:val="hybridMultilevel"/>
    <w:tmpl w:val="15BE671C"/>
    <w:lvl w:ilvl="0" w:tplc="D7FEC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8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87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60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4F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D24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6E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82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AF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A8"/>
    <w:rsid w:val="002110A8"/>
    <w:rsid w:val="002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A3B728-AD94-4063-B7EC-0F21326E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76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7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76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7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7609"/>
    <w:rPr>
      <w:b/>
      <w:bCs/>
    </w:rPr>
  </w:style>
  <w:style w:type="paragraph" w:styleId="Revision">
    <w:name w:val="Revision"/>
    <w:hidden/>
    <w:uiPriority w:val="99"/>
    <w:semiHidden/>
    <w:rsid w:val="00FD7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2669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HB02300 (Committee Report (Unamended))</vt:lpstr>
    </vt:vector>
  </TitlesOfParts>
  <Company>State of Texas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24715</dc:subject>
  <dc:creator>State of Texas</dc:creator>
  <dc:description>HB 2300 by Morrison-(H)Appropriations</dc:description>
  <cp:lastModifiedBy>Scotty Wimberley</cp:lastModifiedBy>
  <cp:revision>2</cp:revision>
  <cp:lastPrinted>2003-11-26T17:21:00Z</cp:lastPrinted>
  <dcterms:created xsi:type="dcterms:W3CDTF">2019-04-11T15:52:00Z</dcterms:created>
  <dcterms:modified xsi:type="dcterms:W3CDTF">2019-04-11T15:52:00Z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19.96.1091</vt:lpwstr>
  </property>
</Properties>
</file>