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90574" w:rsidTr="00345119">
        <w:tc>
          <w:tcPr>
            <w:tcW w:w="9576" w:type="dxa"/>
            <w:noWrap/>
          </w:tcPr>
          <w:p w:rsidR="008423E4" w:rsidRPr="0022177D" w:rsidRDefault="00ED24F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FA1435" w:rsidRDefault="00ED24FD" w:rsidP="008423E4">
      <w:pPr>
        <w:jc w:val="center"/>
        <w:rPr>
          <w:sz w:val="22"/>
        </w:rPr>
      </w:pPr>
    </w:p>
    <w:p w:rsidR="008423E4" w:rsidRPr="00FA1435" w:rsidRDefault="00ED24FD" w:rsidP="008423E4">
      <w:pPr>
        <w:rPr>
          <w:sz w:val="22"/>
        </w:rPr>
      </w:pPr>
    </w:p>
    <w:p w:rsidR="008423E4" w:rsidRPr="00FA1435" w:rsidRDefault="00ED24FD" w:rsidP="008423E4">
      <w:pPr>
        <w:tabs>
          <w:tab w:val="right" w:pos="9360"/>
        </w:tabs>
        <w:rPr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90574" w:rsidTr="00345119">
        <w:tc>
          <w:tcPr>
            <w:tcW w:w="9576" w:type="dxa"/>
          </w:tcPr>
          <w:p w:rsidR="008423E4" w:rsidRPr="00861995" w:rsidRDefault="00ED24FD" w:rsidP="00345119">
            <w:pPr>
              <w:jc w:val="right"/>
            </w:pPr>
            <w:r>
              <w:t>H.B. 2302</w:t>
            </w:r>
          </w:p>
        </w:tc>
      </w:tr>
      <w:tr w:rsidR="00E90574" w:rsidTr="00345119">
        <w:tc>
          <w:tcPr>
            <w:tcW w:w="9576" w:type="dxa"/>
          </w:tcPr>
          <w:p w:rsidR="008423E4" w:rsidRPr="00861995" w:rsidRDefault="00ED24FD" w:rsidP="007B6E4F">
            <w:pPr>
              <w:jc w:val="right"/>
            </w:pPr>
            <w:r>
              <w:t xml:space="preserve">By: </w:t>
            </w:r>
            <w:r>
              <w:t>Bonnen, Greg</w:t>
            </w:r>
          </w:p>
        </w:tc>
      </w:tr>
      <w:tr w:rsidR="00E90574" w:rsidTr="00345119">
        <w:tc>
          <w:tcPr>
            <w:tcW w:w="9576" w:type="dxa"/>
          </w:tcPr>
          <w:p w:rsidR="008423E4" w:rsidRPr="00861995" w:rsidRDefault="00ED24FD" w:rsidP="00345119">
            <w:pPr>
              <w:jc w:val="right"/>
            </w:pPr>
            <w:r>
              <w:t>Business &amp; Industry</w:t>
            </w:r>
          </w:p>
        </w:tc>
      </w:tr>
      <w:tr w:rsidR="00E90574" w:rsidTr="00345119">
        <w:tc>
          <w:tcPr>
            <w:tcW w:w="9576" w:type="dxa"/>
          </w:tcPr>
          <w:p w:rsidR="008423E4" w:rsidRDefault="00ED24F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Pr="00FA1435" w:rsidRDefault="00ED24FD" w:rsidP="008423E4">
      <w:pPr>
        <w:tabs>
          <w:tab w:val="right" w:pos="9360"/>
        </w:tabs>
        <w:rPr>
          <w:sz w:val="22"/>
        </w:rPr>
      </w:pPr>
    </w:p>
    <w:p w:rsidR="008423E4" w:rsidRPr="00FA1435" w:rsidRDefault="00ED24FD" w:rsidP="008423E4">
      <w:pPr>
        <w:rPr>
          <w:sz w:val="22"/>
        </w:rPr>
      </w:pPr>
    </w:p>
    <w:p w:rsidR="008423E4" w:rsidRPr="00FA1435" w:rsidRDefault="00ED24FD" w:rsidP="008423E4">
      <w:pPr>
        <w:rPr>
          <w:sz w:val="22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90574" w:rsidTr="00345119">
        <w:tc>
          <w:tcPr>
            <w:tcW w:w="9576" w:type="dxa"/>
          </w:tcPr>
          <w:p w:rsidR="008423E4" w:rsidRPr="00A8133F" w:rsidRDefault="00ED24FD" w:rsidP="00FA143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FA1435" w:rsidRDefault="00ED24FD" w:rsidP="00FA1435">
            <w:pPr>
              <w:rPr>
                <w:sz w:val="22"/>
              </w:rPr>
            </w:pPr>
          </w:p>
          <w:p w:rsidR="008423E4" w:rsidRDefault="00ED24FD" w:rsidP="00FA14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925B2">
              <w:t xml:space="preserve">There are concerns that some property owners' associations can exercise too much control over the content and location of </w:t>
            </w:r>
            <w:r w:rsidRPr="00F925B2">
              <w:t>religious displays permitted on the property of residents. It has been noted that the exhibition of these displays is</w:t>
            </w:r>
            <w:r>
              <w:t xml:space="preserve"> sometimes</w:t>
            </w:r>
            <w:r w:rsidRPr="00F925B2">
              <w:t xml:space="preserve"> limited </w:t>
            </w:r>
            <w:r>
              <w:t xml:space="preserve">by property owners' associations </w:t>
            </w:r>
            <w:r w:rsidRPr="00F925B2">
              <w:t xml:space="preserve">to the front door and </w:t>
            </w:r>
            <w:r>
              <w:t xml:space="preserve">required to </w:t>
            </w:r>
            <w:r w:rsidRPr="00F925B2">
              <w:t>follow certain guidelines. H.B. 2302 seeks to address</w:t>
            </w:r>
            <w:r w:rsidRPr="00F925B2">
              <w:t xml:space="preserve"> this issue by restricting the ability of property owners' associations to limit religious displays.</w:t>
            </w:r>
          </w:p>
          <w:p w:rsidR="008423E4" w:rsidRPr="00FA1435" w:rsidRDefault="00ED24FD" w:rsidP="00FA1435">
            <w:pPr>
              <w:rPr>
                <w:b/>
                <w:sz w:val="22"/>
              </w:rPr>
            </w:pPr>
          </w:p>
        </w:tc>
      </w:tr>
      <w:tr w:rsidR="00E90574" w:rsidTr="00345119">
        <w:tc>
          <w:tcPr>
            <w:tcW w:w="9576" w:type="dxa"/>
          </w:tcPr>
          <w:p w:rsidR="0017725B" w:rsidRDefault="00ED24FD" w:rsidP="00FA143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FA1435" w:rsidRDefault="00ED24FD" w:rsidP="00FA1435">
            <w:pPr>
              <w:rPr>
                <w:b/>
                <w:sz w:val="22"/>
                <w:u w:val="single"/>
              </w:rPr>
            </w:pPr>
          </w:p>
          <w:p w:rsidR="005F69B6" w:rsidRPr="005F69B6" w:rsidRDefault="00ED24FD" w:rsidP="00FA1435">
            <w:pPr>
              <w:jc w:val="both"/>
            </w:pPr>
            <w:r>
              <w:t>It is the committee's opinion that this bill does not expressly create a criminal offense, increase the punishment for an existi</w:t>
            </w:r>
            <w:r>
              <w:t>ng criminal offense or category of offenses, or change the eligibility of a person for community supervision, parole, or mandatory supervision</w:t>
            </w:r>
            <w:r>
              <w:t>.</w:t>
            </w:r>
          </w:p>
          <w:p w:rsidR="0017725B" w:rsidRPr="00FA1435" w:rsidRDefault="00ED24FD" w:rsidP="00FA1435">
            <w:pPr>
              <w:rPr>
                <w:b/>
                <w:sz w:val="22"/>
                <w:u w:val="single"/>
              </w:rPr>
            </w:pPr>
          </w:p>
        </w:tc>
      </w:tr>
      <w:tr w:rsidR="00E90574" w:rsidTr="00345119">
        <w:tc>
          <w:tcPr>
            <w:tcW w:w="9576" w:type="dxa"/>
          </w:tcPr>
          <w:p w:rsidR="008423E4" w:rsidRPr="00A8133F" w:rsidRDefault="00ED24FD" w:rsidP="00FA143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FA1435" w:rsidRDefault="00ED24FD" w:rsidP="00FA1435">
            <w:pPr>
              <w:rPr>
                <w:sz w:val="22"/>
              </w:rPr>
            </w:pPr>
          </w:p>
          <w:p w:rsidR="005F69B6" w:rsidRDefault="00ED24FD" w:rsidP="00FA14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</w:t>
            </w:r>
            <w:r>
              <w:t>lemaking authority to a state officer, department, agency, or institution.</w:t>
            </w:r>
          </w:p>
          <w:p w:rsidR="008423E4" w:rsidRPr="00FA1435" w:rsidRDefault="00ED24FD" w:rsidP="00FA1435">
            <w:pPr>
              <w:rPr>
                <w:b/>
                <w:sz w:val="22"/>
              </w:rPr>
            </w:pPr>
          </w:p>
        </w:tc>
      </w:tr>
      <w:tr w:rsidR="00E90574" w:rsidTr="00345119">
        <w:tc>
          <w:tcPr>
            <w:tcW w:w="9576" w:type="dxa"/>
          </w:tcPr>
          <w:p w:rsidR="008423E4" w:rsidRPr="00A8133F" w:rsidRDefault="00ED24FD" w:rsidP="00FA143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FA1435" w:rsidRDefault="00ED24FD" w:rsidP="00FA1435">
            <w:pPr>
              <w:rPr>
                <w:sz w:val="22"/>
              </w:rPr>
            </w:pPr>
          </w:p>
          <w:p w:rsidR="00D74931" w:rsidRDefault="00ED24FD" w:rsidP="00FA1435">
            <w:pPr>
              <w:pStyle w:val="Header"/>
              <w:jc w:val="both"/>
            </w:pPr>
            <w:r>
              <w:t xml:space="preserve">H.B. 2302 amends the Property Code to </w:t>
            </w:r>
            <w:r>
              <w:t>ex</w:t>
            </w:r>
            <w:r>
              <w:t>pa</w:t>
            </w:r>
            <w:r>
              <w:t xml:space="preserve">nd a prohibition against the enforcement or adoption by </w:t>
            </w:r>
            <w:r>
              <w:t xml:space="preserve">a property owners' association </w:t>
            </w:r>
            <w:r>
              <w:t>of a restrictive covenant</w:t>
            </w:r>
            <w:r>
              <w:t xml:space="preserve"> </w:t>
            </w:r>
            <w:r w:rsidRPr="00646AAA">
              <w:t xml:space="preserve">that </w:t>
            </w:r>
            <w:r w:rsidRPr="00646AAA">
              <w:t>prohibits a property owner or resident fro</w:t>
            </w:r>
            <w:r>
              <w:t>m displaying or affixing certain religious items on the</w:t>
            </w:r>
            <w:r w:rsidRPr="00646AAA">
              <w:t xml:space="preserve"> </w:t>
            </w:r>
            <w:r>
              <w:t xml:space="preserve">entry to the </w:t>
            </w:r>
            <w:r w:rsidRPr="00646AAA">
              <w:t xml:space="preserve">owner's or resident's dwelling </w:t>
            </w:r>
            <w:r>
              <w:t xml:space="preserve">to apply to </w:t>
            </w:r>
            <w:r w:rsidRPr="00646AAA">
              <w:t>a provision in a</w:t>
            </w:r>
            <w:r>
              <w:t>ny</w:t>
            </w:r>
            <w:r w:rsidRPr="00646AAA">
              <w:t xml:space="preserve"> dedicatory instrument</w:t>
            </w:r>
            <w:r>
              <w:t xml:space="preserve"> and to </w:t>
            </w:r>
            <w:r>
              <w:t>include</w:t>
            </w:r>
            <w:r>
              <w:t xml:space="preserve"> items displayed or affixed on the owner's or r</w:t>
            </w:r>
            <w:r>
              <w:t>esident's property</w:t>
            </w:r>
            <w:r>
              <w:t>.</w:t>
            </w:r>
            <w:r>
              <w:t xml:space="preserve"> The bill </w:t>
            </w:r>
            <w:r>
              <w:t xml:space="preserve">revises certain </w:t>
            </w:r>
            <w:r>
              <w:t>limitations to</w:t>
            </w:r>
            <w:r>
              <w:t xml:space="preserve">  </w:t>
            </w:r>
            <w:r>
              <w:t xml:space="preserve">this prohibition </w:t>
            </w:r>
            <w:r>
              <w:t>as follows</w:t>
            </w:r>
            <w:r>
              <w:t>:</w:t>
            </w:r>
          </w:p>
          <w:p w:rsidR="00C64CB3" w:rsidRDefault="00ED24FD" w:rsidP="00FA143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by </w:t>
            </w:r>
            <w:r>
              <w:t xml:space="preserve">clarifying that </w:t>
            </w:r>
            <w:r>
              <w:t xml:space="preserve">the violation of law that constitutes a permissible reason for prohibiting </w:t>
            </w:r>
            <w:r>
              <w:t>an applicable religious</w:t>
            </w:r>
            <w:r>
              <w:t xml:space="preserve"> display is </w:t>
            </w:r>
            <w:r>
              <w:t xml:space="preserve">a </w:t>
            </w:r>
            <w:r>
              <w:t>violation of a law other than a law</w:t>
            </w:r>
            <w:r>
              <w:t xml:space="preserve"> prohibiting the display of religious speech</w:t>
            </w:r>
            <w:r>
              <w:t>;</w:t>
            </w:r>
          </w:p>
          <w:p w:rsidR="00154500" w:rsidRDefault="00ED24FD" w:rsidP="00FA143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by </w:t>
            </w:r>
            <w:r>
              <w:t>clarifying that the patently offensive language, graphics</w:t>
            </w:r>
            <w:r>
              <w:t>,</w:t>
            </w:r>
            <w:r>
              <w:t xml:space="preserve"> or display that constitute permissible grounds for such a prohibition </w:t>
            </w:r>
            <w:r>
              <w:t>are those that are</w:t>
            </w:r>
            <w:r>
              <w:t xml:space="preserve"> offensive for </w:t>
            </w:r>
            <w:r>
              <w:t xml:space="preserve">reasons other than </w:t>
            </w:r>
            <w:r>
              <w:t xml:space="preserve">their </w:t>
            </w:r>
            <w:r>
              <w:t>religious content</w:t>
            </w:r>
            <w:r>
              <w:t>;</w:t>
            </w:r>
            <w:r>
              <w:t xml:space="preserve"> a</w:t>
            </w:r>
            <w:r>
              <w:t>nd</w:t>
            </w:r>
          </w:p>
          <w:p w:rsidR="00154500" w:rsidRDefault="00ED24FD" w:rsidP="00FA1435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by authorizing a provision in a dedicatory instrument to prohibit </w:t>
            </w:r>
            <w:r>
              <w:t>the</w:t>
            </w:r>
            <w:r>
              <w:t xml:space="preserve"> display or </w:t>
            </w:r>
            <w:r>
              <w:t>affixing</w:t>
            </w:r>
            <w:r>
              <w:t xml:space="preserve"> of a religious item that is</w:t>
            </w:r>
            <w:r>
              <w:t xml:space="preserve"> installed on property owned or maintained by the property owners' association or owned in common by members of the property owners' ass</w:t>
            </w:r>
            <w:r>
              <w:t xml:space="preserve">ociation. </w:t>
            </w:r>
          </w:p>
          <w:p w:rsidR="00154500" w:rsidRPr="00FA1435" w:rsidRDefault="00ED24FD" w:rsidP="00FA1435">
            <w:pPr>
              <w:pStyle w:val="Header"/>
              <w:jc w:val="both"/>
              <w:rPr>
                <w:sz w:val="22"/>
              </w:rPr>
            </w:pPr>
          </w:p>
          <w:p w:rsidR="00F80E43" w:rsidRDefault="00ED24FD" w:rsidP="00FA1435">
            <w:pPr>
              <w:pStyle w:val="Header"/>
              <w:jc w:val="both"/>
            </w:pPr>
            <w:r>
              <w:t>H.B. 2302</w:t>
            </w:r>
            <w:r>
              <w:t xml:space="preserve"> </w:t>
            </w:r>
            <w:r>
              <w:t>authorize</w:t>
            </w:r>
            <w:r>
              <w:t>s</w:t>
            </w:r>
            <w:r>
              <w:t xml:space="preserve"> a </w:t>
            </w:r>
            <w:r w:rsidRPr="005B4F7E">
              <w:t xml:space="preserve">property owners' association </w:t>
            </w:r>
            <w:r>
              <w:t>to</w:t>
            </w:r>
            <w:r w:rsidRPr="005B4F7E">
              <w:t xml:space="preserve"> enforce a provision of a dedicatory instrument</w:t>
            </w:r>
            <w:r>
              <w:t>:</w:t>
            </w:r>
            <w:r>
              <w:t xml:space="preserve"> </w:t>
            </w:r>
          </w:p>
          <w:p w:rsidR="00F80E43" w:rsidRDefault="00ED24FD" w:rsidP="00FA143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5B4F7E">
              <w:t xml:space="preserve">that </w:t>
            </w:r>
            <w:r>
              <w:t xml:space="preserve">limits </w:t>
            </w:r>
            <w:r w:rsidRPr="005B4F7E">
              <w:t xml:space="preserve">the display of a religious item </w:t>
            </w:r>
            <w:r>
              <w:t>to</w:t>
            </w:r>
            <w:r w:rsidRPr="005B4F7E">
              <w:t xml:space="preserve"> 30 days </w:t>
            </w:r>
            <w:r>
              <w:t>based on</w:t>
            </w:r>
            <w:r>
              <w:t xml:space="preserve"> specified</w:t>
            </w:r>
            <w:r>
              <w:t xml:space="preserve"> </w:t>
            </w:r>
            <w:r>
              <w:t xml:space="preserve">physical </w:t>
            </w:r>
            <w:r>
              <w:t>characteristics</w:t>
            </w:r>
            <w:r>
              <w:t xml:space="preserve">, </w:t>
            </w:r>
            <w:r>
              <w:t xml:space="preserve">certain </w:t>
            </w:r>
            <w:r>
              <w:t>violations regarding location or</w:t>
            </w:r>
            <w:r>
              <w:t xml:space="preserve"> maintenance</w:t>
            </w:r>
            <w:r>
              <w:t>, or lack of prior approval under certain circumstances;</w:t>
            </w:r>
            <w:r>
              <w:t xml:space="preserve"> or </w:t>
            </w:r>
          </w:p>
          <w:p w:rsidR="00E81E61" w:rsidRDefault="00ED24FD" w:rsidP="00FA143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that limits </w:t>
            </w:r>
            <w:r w:rsidRPr="005B4F7E">
              <w:t xml:space="preserve">the display </w:t>
            </w:r>
            <w:r>
              <w:t>for a religious event or holiday</w:t>
            </w:r>
            <w:r w:rsidRPr="005B4F7E">
              <w:t xml:space="preserve"> </w:t>
            </w:r>
            <w:r w:rsidRPr="005B4F7E">
              <w:t xml:space="preserve">of a religious item </w:t>
            </w:r>
            <w:r>
              <w:t>otherwise</w:t>
            </w:r>
            <w:r w:rsidRPr="005B4F7E">
              <w:t xml:space="preserve"> </w:t>
            </w:r>
            <w:r w:rsidRPr="005B4F7E">
              <w:t xml:space="preserve">subject </w:t>
            </w:r>
            <w:r>
              <w:t xml:space="preserve">to </w:t>
            </w:r>
            <w:r>
              <w:t>th</w:t>
            </w:r>
            <w:r>
              <w:t>e</w:t>
            </w:r>
            <w:r>
              <w:t xml:space="preserve"> 30-day limit</w:t>
            </w:r>
            <w:r>
              <w:t xml:space="preserve"> </w:t>
            </w:r>
            <w:r>
              <w:t>to a specified period surrounding the event or holiday</w:t>
            </w:r>
            <w:r>
              <w:t xml:space="preserve">. </w:t>
            </w:r>
          </w:p>
          <w:p w:rsidR="00E81E61" w:rsidRDefault="00ED24FD" w:rsidP="00FA1435">
            <w:pPr>
              <w:pStyle w:val="Header"/>
              <w:jc w:val="both"/>
            </w:pPr>
          </w:p>
          <w:p w:rsidR="008423E4" w:rsidRDefault="00ED24FD" w:rsidP="00FA1435">
            <w:pPr>
              <w:pStyle w:val="Header"/>
              <w:jc w:val="both"/>
            </w:pPr>
            <w:r>
              <w:t>H.B. 2302</w:t>
            </w:r>
            <w:r>
              <w:t xml:space="preserve"> </w:t>
            </w:r>
            <w:r>
              <w:t xml:space="preserve">requires </w:t>
            </w:r>
            <w:r w:rsidRPr="005B4F7E">
              <w:t>a property owners' association or the association's architectural control committee, as applicable,</w:t>
            </w:r>
            <w:r>
              <w:t xml:space="preserve"> if </w:t>
            </w:r>
            <w:r w:rsidRPr="005B4F7E">
              <w:t>prior approval of a display is required,</w:t>
            </w:r>
            <w:r>
              <w:t xml:space="preserve"> to </w:t>
            </w:r>
            <w:r w:rsidRPr="005B4F7E">
              <w:t>approve an owner's or resident's request to display a religious item if the display of the item comp</w:t>
            </w:r>
            <w:r w:rsidRPr="005B4F7E">
              <w:t>lies with the association's dedicatory instruments consistent with</w:t>
            </w:r>
            <w:r>
              <w:t xml:space="preserve"> the bill's </w:t>
            </w:r>
            <w:r>
              <w:t>limitations on such instruments</w:t>
            </w:r>
            <w:r>
              <w:t xml:space="preserve">. The bill requires the </w:t>
            </w:r>
            <w:r>
              <w:t xml:space="preserve">applicable </w:t>
            </w:r>
            <w:r>
              <w:t xml:space="preserve">association to </w:t>
            </w:r>
            <w:r w:rsidRPr="005B4F7E">
              <w:t>notify owners and residents that approval of the display of a religious item is required for a di</w:t>
            </w:r>
            <w:r w:rsidRPr="005B4F7E">
              <w:t xml:space="preserve">splay that is not subject to restriction </w:t>
            </w:r>
            <w:r>
              <w:t>on the grounds specified by the bill</w:t>
            </w:r>
            <w:r>
              <w:t xml:space="preserve">. </w:t>
            </w:r>
          </w:p>
          <w:p w:rsidR="005F69B6" w:rsidRDefault="00ED24FD" w:rsidP="00FA1435">
            <w:pPr>
              <w:pStyle w:val="Header"/>
              <w:jc w:val="both"/>
            </w:pPr>
          </w:p>
          <w:p w:rsidR="005F69B6" w:rsidRDefault="00ED24FD" w:rsidP="00FA1435">
            <w:pPr>
              <w:pStyle w:val="Header"/>
              <w:jc w:val="both"/>
            </w:pPr>
            <w:r>
              <w:t xml:space="preserve">H.B. 2302 repeals provisions </w:t>
            </w:r>
            <w:r>
              <w:t xml:space="preserve">relating to the regulation of </w:t>
            </w:r>
            <w:r>
              <w:t xml:space="preserve">material, color, or alterations of door frames in the context of the display or affixing of religious items and </w:t>
            </w:r>
            <w:r>
              <w:t>authorizing</w:t>
            </w:r>
            <w:r>
              <w:t xml:space="preserve"> a property owners' association to </w:t>
            </w:r>
            <w:r w:rsidRPr="005F69B6">
              <w:t xml:space="preserve">remove an item displayed in violation of a </w:t>
            </w:r>
            <w:r w:rsidRPr="005F69B6">
              <w:t xml:space="preserve">permitted </w:t>
            </w:r>
            <w:r w:rsidRPr="005F69B6">
              <w:t>restrictive covenant</w:t>
            </w:r>
            <w:r>
              <w:t>.</w:t>
            </w:r>
          </w:p>
          <w:p w:rsidR="005F69B6" w:rsidRDefault="00ED24FD" w:rsidP="00FA1435">
            <w:pPr>
              <w:pStyle w:val="Header"/>
              <w:jc w:val="both"/>
            </w:pPr>
          </w:p>
          <w:p w:rsidR="005F69B6" w:rsidRPr="005F69B6" w:rsidRDefault="00ED24FD" w:rsidP="00FA1435">
            <w:pPr>
              <w:pStyle w:val="Header"/>
              <w:jc w:val="both"/>
              <w:rPr>
                <w:b/>
              </w:rPr>
            </w:pPr>
            <w:r>
              <w:t>H.B. 2302 repeals S</w:t>
            </w:r>
            <w:r w:rsidRPr="005F69B6">
              <w:t>ections 202.018(c) and (d), Property Code</w:t>
            </w:r>
            <w:r>
              <w:t>.</w:t>
            </w:r>
          </w:p>
          <w:p w:rsidR="008423E4" w:rsidRPr="00835628" w:rsidRDefault="00ED24FD" w:rsidP="00FA1435">
            <w:pPr>
              <w:rPr>
                <w:b/>
              </w:rPr>
            </w:pPr>
          </w:p>
        </w:tc>
      </w:tr>
      <w:tr w:rsidR="00E90574" w:rsidTr="00345119">
        <w:tc>
          <w:tcPr>
            <w:tcW w:w="9576" w:type="dxa"/>
          </w:tcPr>
          <w:p w:rsidR="008423E4" w:rsidRPr="00A8133F" w:rsidRDefault="00ED24FD" w:rsidP="00FA143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D24FD" w:rsidP="00FA1435"/>
          <w:p w:rsidR="008423E4" w:rsidRPr="003624F2" w:rsidRDefault="00ED24FD" w:rsidP="00FA14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</w:t>
            </w:r>
            <w:r>
              <w:t>necessary vote, September 1, 2019.</w:t>
            </w:r>
          </w:p>
          <w:p w:rsidR="008423E4" w:rsidRPr="00233FDB" w:rsidRDefault="00ED24FD" w:rsidP="00FA1435">
            <w:pPr>
              <w:rPr>
                <w:b/>
              </w:rPr>
            </w:pPr>
          </w:p>
        </w:tc>
      </w:tr>
    </w:tbl>
    <w:p w:rsidR="008423E4" w:rsidRPr="00BE0E75" w:rsidRDefault="00ED24F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D24F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24FD">
      <w:r>
        <w:separator/>
      </w:r>
    </w:p>
  </w:endnote>
  <w:endnote w:type="continuationSeparator" w:id="0">
    <w:p w:rsidR="00000000" w:rsidRDefault="00ED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D2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90574" w:rsidTr="009C1E9A">
      <w:trPr>
        <w:cantSplit/>
      </w:trPr>
      <w:tc>
        <w:tcPr>
          <w:tcW w:w="0" w:type="pct"/>
        </w:tcPr>
        <w:p w:rsidR="00137D90" w:rsidRDefault="00ED24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D24F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D24F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D24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D24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90574" w:rsidTr="009C1E9A">
      <w:trPr>
        <w:cantSplit/>
      </w:trPr>
      <w:tc>
        <w:tcPr>
          <w:tcW w:w="0" w:type="pct"/>
        </w:tcPr>
        <w:p w:rsidR="00EC379B" w:rsidRDefault="00ED24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D24F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28954</w:t>
          </w:r>
        </w:p>
      </w:tc>
      <w:tc>
        <w:tcPr>
          <w:tcW w:w="2453" w:type="pct"/>
        </w:tcPr>
        <w:p w:rsidR="00EC379B" w:rsidRDefault="00ED24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19.109.950</w:t>
          </w:r>
          <w:r>
            <w:fldChar w:fldCharType="end"/>
          </w:r>
        </w:p>
      </w:tc>
    </w:tr>
    <w:tr w:rsidR="00E90574" w:rsidTr="009C1E9A">
      <w:trPr>
        <w:cantSplit/>
      </w:trPr>
      <w:tc>
        <w:tcPr>
          <w:tcW w:w="0" w:type="pct"/>
        </w:tcPr>
        <w:p w:rsidR="00EC379B" w:rsidRDefault="00ED24F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D24F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D24FD" w:rsidP="006D504F">
          <w:pPr>
            <w:pStyle w:val="Footer"/>
            <w:rPr>
              <w:rStyle w:val="PageNumber"/>
            </w:rPr>
          </w:pPr>
        </w:p>
        <w:p w:rsidR="00EC379B" w:rsidRDefault="00ED24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9057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D24F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ED24F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D24F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D2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24FD">
      <w:r>
        <w:separator/>
      </w:r>
    </w:p>
  </w:footnote>
  <w:footnote w:type="continuationSeparator" w:id="0">
    <w:p w:rsidR="00000000" w:rsidRDefault="00ED2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D2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D24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D2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7427B"/>
    <w:multiLevelType w:val="hybridMultilevel"/>
    <w:tmpl w:val="5CDE4B84"/>
    <w:lvl w:ilvl="0" w:tplc="307C4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ED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2A41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C5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4D0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40E5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2F4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8EC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E4D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620A1"/>
    <w:multiLevelType w:val="hybridMultilevel"/>
    <w:tmpl w:val="D8BC3474"/>
    <w:lvl w:ilvl="0" w:tplc="0C08C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F257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104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275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439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92C8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CAE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410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0A21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74"/>
    <w:rsid w:val="00E90574"/>
    <w:rsid w:val="00E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C9CFB7-402A-4EB1-8AFB-2977B5C1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B4F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4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4F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4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4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3233</Characters>
  <Application>Microsoft Office Word</Application>
  <DocSecurity>4</DocSecurity>
  <Lines>75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HB02302 (Committee Report (Unamended))</vt:lpstr>
    </vt:vector>
  </TitlesOfParts>
  <Company>State of Texas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28954</dc:subject>
  <dc:creator>State of Texas</dc:creator>
  <dc:description>HB 2302 by Bonnen, Greg-(H)Business &amp; Industry</dc:description>
  <cp:lastModifiedBy>Scotty Wimberley</cp:lastModifiedBy>
  <cp:revision>2</cp:revision>
  <cp:lastPrinted>2003-11-26T17:21:00Z</cp:lastPrinted>
  <dcterms:created xsi:type="dcterms:W3CDTF">2019-04-30T18:54:00Z</dcterms:created>
  <dcterms:modified xsi:type="dcterms:W3CDTF">2019-04-30T18:54:00Z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19.109.950</vt:lpwstr>
  </property>
</Properties>
</file>