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1E4D" w:rsidTr="00345119">
        <w:tc>
          <w:tcPr>
            <w:tcW w:w="9576" w:type="dxa"/>
            <w:noWrap/>
          </w:tcPr>
          <w:p w:rsidR="008423E4" w:rsidRPr="0022177D" w:rsidRDefault="006A52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520C" w:rsidP="008423E4">
      <w:pPr>
        <w:jc w:val="center"/>
      </w:pPr>
    </w:p>
    <w:p w:rsidR="008423E4" w:rsidRPr="00B31F0E" w:rsidRDefault="006A520C" w:rsidP="008423E4"/>
    <w:p w:rsidR="008423E4" w:rsidRPr="00742794" w:rsidRDefault="006A52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1E4D" w:rsidTr="00345119">
        <w:tc>
          <w:tcPr>
            <w:tcW w:w="9576" w:type="dxa"/>
          </w:tcPr>
          <w:p w:rsidR="008423E4" w:rsidRPr="00861995" w:rsidRDefault="006A520C" w:rsidP="00345119">
            <w:pPr>
              <w:jc w:val="right"/>
            </w:pPr>
            <w:r>
              <w:t>C.S.H.B. 2325</w:t>
            </w:r>
          </w:p>
        </w:tc>
      </w:tr>
      <w:tr w:rsidR="00991E4D" w:rsidTr="00345119">
        <w:tc>
          <w:tcPr>
            <w:tcW w:w="9576" w:type="dxa"/>
          </w:tcPr>
          <w:p w:rsidR="008423E4" w:rsidRPr="00861995" w:rsidRDefault="006A520C" w:rsidP="00857022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991E4D" w:rsidTr="00345119">
        <w:tc>
          <w:tcPr>
            <w:tcW w:w="9576" w:type="dxa"/>
          </w:tcPr>
          <w:p w:rsidR="008423E4" w:rsidRPr="00861995" w:rsidRDefault="006A520C" w:rsidP="00345119">
            <w:pPr>
              <w:jc w:val="right"/>
            </w:pPr>
            <w:r>
              <w:t>Homeland Security &amp; Public Safety</w:t>
            </w:r>
          </w:p>
        </w:tc>
      </w:tr>
      <w:tr w:rsidR="00991E4D" w:rsidTr="00345119">
        <w:tc>
          <w:tcPr>
            <w:tcW w:w="9576" w:type="dxa"/>
          </w:tcPr>
          <w:p w:rsidR="008423E4" w:rsidRDefault="006A520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A520C" w:rsidP="008423E4">
      <w:pPr>
        <w:tabs>
          <w:tab w:val="right" w:pos="9360"/>
        </w:tabs>
      </w:pPr>
    </w:p>
    <w:p w:rsidR="008423E4" w:rsidRDefault="006A520C" w:rsidP="008423E4"/>
    <w:p w:rsidR="008423E4" w:rsidRDefault="006A52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1E4D" w:rsidTr="00345119">
        <w:tc>
          <w:tcPr>
            <w:tcW w:w="9576" w:type="dxa"/>
          </w:tcPr>
          <w:p w:rsidR="008423E4" w:rsidRPr="00A8133F" w:rsidRDefault="006A520C" w:rsidP="00311B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520C" w:rsidP="00311B44"/>
          <w:p w:rsidR="008423E4" w:rsidRDefault="006A520C" w:rsidP="00311B44">
            <w:pPr>
              <w:pStyle w:val="Header"/>
              <w:jc w:val="both"/>
            </w:pPr>
            <w:r>
              <w:t xml:space="preserve">The impact and immediate aftermath of Hurricane Harvey exposed various deficiencies in the state's emergency communications network and the ability to broadly distribute reliable and valuable information.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2325 seeks to address </w:t>
            </w:r>
            <w:r>
              <w:t xml:space="preserve">those deficiencies </w:t>
            </w:r>
            <w:r>
              <w:t>b</w:t>
            </w:r>
            <w:r>
              <w:t xml:space="preserve">y directing the Texas Division of Emergency Management to </w:t>
            </w:r>
            <w:r>
              <w:t xml:space="preserve">conduct a </w:t>
            </w:r>
            <w:r>
              <w:t xml:space="preserve">study </w:t>
            </w:r>
            <w:r w:rsidRPr="001071E0">
              <w:t xml:space="preserve">on the use of a standard communication format </w:t>
            </w:r>
            <w:r>
              <w:t>by first responders to</w:t>
            </w:r>
            <w:r>
              <w:t xml:space="preserve"> create a common </w:t>
            </w:r>
            <w:r>
              <w:t xml:space="preserve">interoperable </w:t>
            </w:r>
            <w:r>
              <w:t>operating framework</w:t>
            </w:r>
            <w:r>
              <w:t xml:space="preserve"> during a disaster</w:t>
            </w:r>
            <w:r>
              <w:t xml:space="preserve"> and providing for</w:t>
            </w:r>
            <w:r>
              <w:t xml:space="preserve"> the creation of public awar</w:t>
            </w:r>
            <w:r>
              <w:t>eness campaigns</w:t>
            </w:r>
            <w:r>
              <w:t>, local emergency assistance registry plans,</w:t>
            </w:r>
            <w:r>
              <w:t xml:space="preserve"> and a disaster web portal to act as a clearinghouse for information during a disaster.</w:t>
            </w:r>
          </w:p>
          <w:p w:rsidR="008423E4" w:rsidRPr="00E26B13" w:rsidRDefault="006A520C" w:rsidP="00311B44">
            <w:pPr>
              <w:rPr>
                <w:b/>
              </w:rPr>
            </w:pPr>
          </w:p>
        </w:tc>
      </w:tr>
      <w:tr w:rsidR="00991E4D" w:rsidTr="00345119">
        <w:tc>
          <w:tcPr>
            <w:tcW w:w="9576" w:type="dxa"/>
          </w:tcPr>
          <w:p w:rsidR="0017725B" w:rsidRDefault="006A520C" w:rsidP="00311B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520C" w:rsidP="00311B44">
            <w:pPr>
              <w:rPr>
                <w:b/>
                <w:u w:val="single"/>
              </w:rPr>
            </w:pPr>
          </w:p>
          <w:p w:rsidR="00E920BC" w:rsidRPr="00E920BC" w:rsidRDefault="006A520C" w:rsidP="00311B44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A520C" w:rsidP="00311B44">
            <w:pPr>
              <w:rPr>
                <w:b/>
                <w:u w:val="single"/>
              </w:rPr>
            </w:pPr>
          </w:p>
        </w:tc>
      </w:tr>
      <w:tr w:rsidR="00991E4D" w:rsidTr="00345119">
        <w:tc>
          <w:tcPr>
            <w:tcW w:w="9576" w:type="dxa"/>
          </w:tcPr>
          <w:p w:rsidR="008423E4" w:rsidRPr="00A8133F" w:rsidRDefault="006A520C" w:rsidP="00311B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520C" w:rsidP="00311B44"/>
          <w:p w:rsidR="00E920BC" w:rsidRDefault="006A520C" w:rsidP="00311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6A520C" w:rsidP="00311B44">
            <w:pPr>
              <w:rPr>
                <w:b/>
              </w:rPr>
            </w:pPr>
          </w:p>
        </w:tc>
      </w:tr>
      <w:tr w:rsidR="00991E4D" w:rsidTr="00345119">
        <w:tc>
          <w:tcPr>
            <w:tcW w:w="9576" w:type="dxa"/>
          </w:tcPr>
          <w:p w:rsidR="008423E4" w:rsidRPr="00A8133F" w:rsidRDefault="006A520C" w:rsidP="00311B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520C" w:rsidP="00311B44"/>
          <w:p w:rsidR="004007AF" w:rsidRDefault="006A520C" w:rsidP="00311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285B80">
              <w:t>H.B. 2325 amends the Government Code to require the Texas Division of Eme</w:t>
            </w:r>
            <w:r>
              <w:t>rgency Management (TDEM)</w:t>
            </w:r>
            <w:r w:rsidRPr="00396A66">
              <w:t xml:space="preserve"> </w:t>
            </w:r>
            <w:r>
              <w:t>to</w:t>
            </w:r>
            <w:r w:rsidRPr="00396A66">
              <w:t xml:space="preserve"> </w:t>
            </w:r>
            <w:r>
              <w:t>do the following</w:t>
            </w:r>
            <w:r>
              <w:t>:</w:t>
            </w:r>
          </w:p>
          <w:p w:rsidR="00396A66" w:rsidRDefault="006A520C" w:rsidP="00311B4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396A66">
              <w:t>coordinate</w:t>
            </w:r>
            <w:r>
              <w:t>, in consultation with the Texas</w:t>
            </w:r>
            <w:r>
              <w:t xml:space="preserve"> </w:t>
            </w:r>
            <w:r>
              <w:t>A&amp;M AgriLife Extension service,</w:t>
            </w:r>
            <w:r w:rsidRPr="00396A66">
              <w:t xml:space="preserve"> state and local government efforts to make 9-1-1 emergency service capable of receiving text messages from a cellular telephone or other wireless communication device</w:t>
            </w:r>
            <w:r>
              <w:t>;</w:t>
            </w:r>
            <w:r>
              <w:t xml:space="preserve"> </w:t>
            </w:r>
          </w:p>
          <w:p w:rsidR="008358ED" w:rsidRDefault="006A520C" w:rsidP="00311B4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develop st</w:t>
            </w:r>
            <w:r>
              <w:t>andards</w:t>
            </w:r>
            <w:r>
              <w:t>, in consultation with any state agency or private entity TDEM determines is appropriate,</w:t>
            </w:r>
            <w:r>
              <w:t xml:space="preserve"> for the use of social media as a communication tool by governmental entities during and after a disaster;</w:t>
            </w:r>
          </w:p>
          <w:p w:rsidR="005263BA" w:rsidRDefault="006A520C" w:rsidP="00311B4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develop a mobile application for wireless communicati</w:t>
            </w:r>
            <w:r>
              <w:t>on devices to communicate critical information during a disaster directly to disast</w:t>
            </w:r>
            <w:r>
              <w:t>er victims and first responders</w:t>
            </w:r>
            <w:r>
              <w:t>; and</w:t>
            </w:r>
          </w:p>
          <w:p w:rsidR="004007AF" w:rsidRDefault="006A520C" w:rsidP="00311B4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develop a comprehensive disaster web portal.</w:t>
            </w:r>
            <w:r>
              <w:t xml:space="preserve"> </w:t>
            </w:r>
          </w:p>
          <w:p w:rsidR="00311F41" w:rsidRDefault="006A520C" w:rsidP="00311B44">
            <w:pPr>
              <w:pStyle w:val="Header"/>
              <w:jc w:val="both"/>
            </w:pPr>
          </w:p>
          <w:p w:rsidR="008358ED" w:rsidRDefault="006A520C" w:rsidP="00311B44">
            <w:pPr>
              <w:pStyle w:val="Header"/>
              <w:jc w:val="both"/>
            </w:pPr>
            <w:r>
              <w:t>C.S.</w:t>
            </w:r>
            <w:r>
              <w:t>H.B. 2325</w:t>
            </w:r>
            <w:r>
              <w:t xml:space="preserve"> sets out requirements for the </w:t>
            </w:r>
            <w:r>
              <w:t xml:space="preserve">social media standards </w:t>
            </w:r>
            <w:r>
              <w:t xml:space="preserve">and the web portal </w:t>
            </w:r>
            <w:r>
              <w:t>and</w:t>
            </w:r>
            <w:r>
              <w:t xml:space="preserve"> </w:t>
            </w:r>
            <w:r>
              <w:t>authorizes t</w:t>
            </w:r>
            <w:r>
              <w:t xml:space="preserve">he </w:t>
            </w:r>
            <w:r>
              <w:t xml:space="preserve">mobile </w:t>
            </w:r>
            <w:r>
              <w:t xml:space="preserve">application </w:t>
            </w:r>
            <w:r>
              <w:t xml:space="preserve">to provide information on </w:t>
            </w:r>
            <w:r>
              <w:t>road and weath</w:t>
            </w:r>
            <w:r>
              <w:t>er conditions during a disaster</w:t>
            </w:r>
            <w:r>
              <w:t xml:space="preserve"> and</w:t>
            </w:r>
            <w:r>
              <w:t xml:space="preserve"> </w:t>
            </w:r>
            <w:r>
              <w:t xml:space="preserve">on </w:t>
            </w:r>
            <w:r>
              <w:t>disaster response and recovery activities.</w:t>
            </w:r>
            <w:r>
              <w:t xml:space="preserve"> </w:t>
            </w:r>
            <w:r>
              <w:t xml:space="preserve">The bill requires TDEM, to the extent feasible, to </w:t>
            </w:r>
            <w:r w:rsidRPr="008358ED">
              <w:t xml:space="preserve">use data analytics software to integrate data </w:t>
            </w:r>
            <w:r w:rsidRPr="008358ED">
              <w:t>from federal, state, local, and nongovernmental sources to more effectively manage disaster response and recovery</w:t>
            </w:r>
            <w:r>
              <w:t>.</w:t>
            </w:r>
          </w:p>
          <w:p w:rsidR="008358ED" w:rsidRDefault="006A520C" w:rsidP="00311B44">
            <w:pPr>
              <w:pStyle w:val="Header"/>
              <w:jc w:val="both"/>
            </w:pPr>
          </w:p>
          <w:p w:rsidR="00475571" w:rsidRDefault="006A520C" w:rsidP="00311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2325 requir</w:t>
            </w:r>
            <w:r>
              <w:t>es</w:t>
            </w:r>
            <w:r>
              <w:t xml:space="preserve"> TDEM</w:t>
            </w:r>
            <w:r>
              <w:t>, f</w:t>
            </w:r>
            <w:r w:rsidRPr="00475571">
              <w:t xml:space="preserve">or purposes </w:t>
            </w:r>
            <w:r>
              <w:t xml:space="preserve">of </w:t>
            </w:r>
            <w:r w:rsidRPr="00475571">
              <w:t>improving the state's response to disasters</w:t>
            </w:r>
            <w:r>
              <w:t>, to</w:t>
            </w:r>
            <w:r w:rsidRPr="00475571">
              <w:t xml:space="preserve"> </w:t>
            </w:r>
            <w:r w:rsidRPr="00475571">
              <w:t xml:space="preserve">conduct a study on the use of a standard communication format by first responders to create a common </w:t>
            </w:r>
            <w:r>
              <w:t xml:space="preserve">interoperable </w:t>
            </w:r>
            <w:r w:rsidRPr="00475571">
              <w:t>operating framework during a disaster</w:t>
            </w:r>
            <w:r>
              <w:t>. The bill sets out certain requirements for the study and requires TDEM, n</w:t>
            </w:r>
            <w:r w:rsidRPr="00475571">
              <w:t>ot later than September 1, 20</w:t>
            </w:r>
            <w:r w:rsidRPr="00475571">
              <w:t xml:space="preserve">20, </w:t>
            </w:r>
            <w:r>
              <w:t>to</w:t>
            </w:r>
            <w:r w:rsidRPr="00475571">
              <w:t xml:space="preserve"> submit to the governor, lieutenant governor, and members of the legislature a report on the findings of the study.</w:t>
            </w:r>
            <w:r>
              <w:t xml:space="preserve"> These provisions expire December 1, 2020.</w:t>
            </w:r>
          </w:p>
          <w:p w:rsidR="00475571" w:rsidRDefault="006A520C" w:rsidP="00311B44">
            <w:pPr>
              <w:pStyle w:val="Header"/>
              <w:jc w:val="both"/>
            </w:pPr>
          </w:p>
          <w:p w:rsidR="00EA23C8" w:rsidRDefault="006A520C" w:rsidP="00311B44">
            <w:pPr>
              <w:pStyle w:val="Header"/>
              <w:jc w:val="both"/>
            </w:pPr>
            <w:r>
              <w:t>C.S.</w:t>
            </w:r>
            <w:r>
              <w:t xml:space="preserve">H.B. 2325 requires </w:t>
            </w:r>
            <w:r>
              <w:t>certain specified governmental</w:t>
            </w:r>
            <w:r>
              <w:t xml:space="preserve"> entities to conduct </w:t>
            </w:r>
            <w:r>
              <w:t xml:space="preserve">annual </w:t>
            </w:r>
            <w:r>
              <w:t xml:space="preserve">community </w:t>
            </w:r>
            <w:r>
              <w:t>outreach, including public awareness campaigns, and education activities on disaster preparedness</w:t>
            </w:r>
            <w:r>
              <w:t>.</w:t>
            </w:r>
            <w:r>
              <w:t xml:space="preserve"> </w:t>
            </w:r>
          </w:p>
          <w:p w:rsidR="00EA23C8" w:rsidRDefault="006A520C" w:rsidP="00311B44">
            <w:pPr>
              <w:pStyle w:val="Header"/>
              <w:jc w:val="both"/>
            </w:pPr>
          </w:p>
          <w:p w:rsidR="00396A66" w:rsidRDefault="006A520C" w:rsidP="00311B44">
            <w:pPr>
              <w:pStyle w:val="Header"/>
              <w:jc w:val="both"/>
            </w:pPr>
            <w:r>
              <w:t>C.S.H.B. 2325</w:t>
            </w:r>
            <w:r>
              <w:t xml:space="preserve"> requires the </w:t>
            </w:r>
            <w:r w:rsidRPr="005D7CC9">
              <w:t>presiding officer of the governing body of an incorporated city or a county or the chief administrative officer of a joint board</w:t>
            </w:r>
            <w:r>
              <w:t xml:space="preserve"> who is designated an emergency management director for that </w:t>
            </w:r>
            <w:r>
              <w:t xml:space="preserve">political </w:t>
            </w:r>
            <w:r>
              <w:t xml:space="preserve">subdivision to </w:t>
            </w:r>
            <w:r w:rsidRPr="005D7CC9">
              <w:t>develop a plan to use information</w:t>
            </w:r>
            <w:r>
              <w:t>,</w:t>
            </w:r>
            <w:r>
              <w:t xml:space="preserve"> </w:t>
            </w:r>
            <w:r w:rsidRPr="005D7CC9">
              <w:t>during the subdivision's response to a disaster</w:t>
            </w:r>
            <w:r>
              <w:t>,</w:t>
            </w:r>
            <w:r w:rsidRPr="005D7CC9">
              <w:t xml:space="preserve"> from the emergency assistance registry</w:t>
            </w:r>
            <w:r>
              <w:t xml:space="preserve"> </w:t>
            </w:r>
            <w:r>
              <w:t>maintained by TDEM that provides local emergenc</w:t>
            </w:r>
            <w:r>
              <w:t>y planners and emergency responders with additional information on the needs of certain individuals in their communities</w:t>
            </w:r>
            <w:r w:rsidRPr="005D7CC9">
              <w:t>.</w:t>
            </w:r>
            <w:r>
              <w:t xml:space="preserve"> The bill requires the director to publish the plan on the subdivision's website and the </w:t>
            </w:r>
            <w:r w:rsidRPr="005D7CC9">
              <w:t>Department of Public Safety (DPS)</w:t>
            </w:r>
            <w:r>
              <w:t xml:space="preserve"> website</w:t>
            </w:r>
            <w:r>
              <w:t>. The</w:t>
            </w:r>
            <w:r>
              <w:t xml:space="preserve"> bill requires TDEM to </w:t>
            </w:r>
            <w:r w:rsidRPr="00014CDE">
              <w:t xml:space="preserve">develop a process by which </w:t>
            </w:r>
            <w:r>
              <w:t xml:space="preserve">such </w:t>
            </w:r>
            <w:r w:rsidRPr="00014CDE">
              <w:t xml:space="preserve">a plan </w:t>
            </w:r>
            <w:r>
              <w:t xml:space="preserve">may be </w:t>
            </w:r>
            <w:r w:rsidRPr="00014CDE">
              <w:t>published to the</w:t>
            </w:r>
            <w:r>
              <w:t xml:space="preserve"> DPS website and to establish a designated area on </w:t>
            </w:r>
            <w:r>
              <w:t>that</w:t>
            </w:r>
            <w:r>
              <w:t xml:space="preserve"> website for the public to view the plan. </w:t>
            </w:r>
          </w:p>
          <w:p w:rsidR="008423E4" w:rsidRPr="00835628" w:rsidRDefault="006A520C" w:rsidP="00311B44">
            <w:pPr>
              <w:rPr>
                <w:b/>
              </w:rPr>
            </w:pPr>
          </w:p>
        </w:tc>
      </w:tr>
      <w:tr w:rsidR="00991E4D" w:rsidTr="00345119">
        <w:tc>
          <w:tcPr>
            <w:tcW w:w="9576" w:type="dxa"/>
          </w:tcPr>
          <w:p w:rsidR="008423E4" w:rsidRPr="00A8133F" w:rsidRDefault="006A520C" w:rsidP="00311B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520C" w:rsidP="00311B44"/>
          <w:p w:rsidR="008423E4" w:rsidRPr="003624F2" w:rsidRDefault="006A520C" w:rsidP="00311B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A520C" w:rsidP="00311B44">
            <w:pPr>
              <w:rPr>
                <w:b/>
              </w:rPr>
            </w:pPr>
          </w:p>
        </w:tc>
      </w:tr>
      <w:tr w:rsidR="00991E4D" w:rsidTr="00345119">
        <w:tc>
          <w:tcPr>
            <w:tcW w:w="9576" w:type="dxa"/>
          </w:tcPr>
          <w:p w:rsidR="00857022" w:rsidRDefault="006A520C" w:rsidP="00311B4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014CDE" w:rsidRDefault="006A520C" w:rsidP="00311B44">
            <w:pPr>
              <w:jc w:val="both"/>
            </w:pPr>
          </w:p>
          <w:p w:rsidR="00EA23C8" w:rsidRDefault="006A520C" w:rsidP="00311B44">
            <w:pPr>
              <w:jc w:val="both"/>
            </w:pPr>
            <w:r>
              <w:t xml:space="preserve">While C.S.H.B. 2325 may differ from the original in minor or nonsubstantive ways, the following summarizes the substantial differences between the introduced and committee substitute versions of the bill. </w:t>
            </w:r>
          </w:p>
          <w:p w:rsidR="00EA23C8" w:rsidRDefault="006A520C" w:rsidP="00311B44">
            <w:pPr>
              <w:jc w:val="both"/>
            </w:pPr>
          </w:p>
          <w:p w:rsidR="00EA23C8" w:rsidRDefault="006A520C" w:rsidP="00311B44">
            <w:pPr>
              <w:jc w:val="both"/>
            </w:pPr>
            <w:r>
              <w:t xml:space="preserve">The substitute changes the entity </w:t>
            </w:r>
            <w:r>
              <w:t>responsible for</w:t>
            </w:r>
            <w:r w:rsidRPr="00014CDE">
              <w:t xml:space="preserve"> develop</w:t>
            </w:r>
            <w:r>
              <w:t>ing</w:t>
            </w:r>
            <w:r w:rsidRPr="00014CDE">
              <w:t xml:space="preserve"> </w:t>
            </w:r>
            <w:r>
              <w:t>the</w:t>
            </w:r>
            <w:r w:rsidRPr="00014CDE">
              <w:t xml:space="preserve"> comprehensive disaster web portal </w:t>
            </w:r>
            <w:r>
              <w:t xml:space="preserve">from The </w:t>
            </w:r>
            <w:r w:rsidRPr="00014CDE">
              <w:t>Texas A&amp;M University System</w:t>
            </w:r>
            <w:r>
              <w:t>, in consultation with the governor and TDEM,</w:t>
            </w:r>
            <w:r>
              <w:t xml:space="preserve"> to TDEM. </w:t>
            </w:r>
          </w:p>
          <w:p w:rsidR="00EA23C8" w:rsidRDefault="006A520C" w:rsidP="00311B44">
            <w:pPr>
              <w:jc w:val="both"/>
            </w:pPr>
          </w:p>
          <w:p w:rsidR="00014CDE" w:rsidRDefault="006A520C" w:rsidP="00311B44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a </w:t>
            </w:r>
            <w:r>
              <w:t xml:space="preserve">provision </w:t>
            </w:r>
            <w:r>
              <w:t>requiring a designated emergency management director of a poli</w:t>
            </w:r>
            <w:r>
              <w:t xml:space="preserve">tical subdivision to develop a plan to use the </w:t>
            </w:r>
            <w:r>
              <w:t>emergency assistance registry</w:t>
            </w:r>
            <w:r>
              <w:t xml:space="preserve"> maintained by TDEM</w:t>
            </w:r>
            <w:r>
              <w:t>.</w:t>
            </w:r>
          </w:p>
          <w:p w:rsidR="00EA23C8" w:rsidRDefault="006A520C" w:rsidP="00311B44">
            <w:pPr>
              <w:jc w:val="both"/>
            </w:pPr>
          </w:p>
          <w:p w:rsidR="00EA23C8" w:rsidRDefault="006A520C" w:rsidP="00311B44">
            <w:pPr>
              <w:jc w:val="both"/>
            </w:pPr>
            <w:r>
              <w:t>The substitute revises the entities required to conduct the community outreach.</w:t>
            </w:r>
          </w:p>
          <w:p w:rsidR="00EA23C8" w:rsidRDefault="006A520C" w:rsidP="00311B44">
            <w:pPr>
              <w:jc w:val="both"/>
            </w:pPr>
          </w:p>
          <w:p w:rsidR="00EA23C8" w:rsidRDefault="006A520C" w:rsidP="00311B44">
            <w:pPr>
              <w:jc w:val="both"/>
            </w:pPr>
            <w:r>
              <w:t>The substitute does not include a provision requiring the study on the use of</w:t>
            </w:r>
            <w:r>
              <w:t xml:space="preserve"> a standard communication format to be conducted in consultation with the Texas A&amp;M Engineering Extension Service. The substitute </w:t>
            </w:r>
            <w:r>
              <w:t xml:space="preserve">includes a provision specifying that </w:t>
            </w:r>
            <w:r>
              <w:t xml:space="preserve">the </w:t>
            </w:r>
            <w:r>
              <w:t xml:space="preserve">common operating framework </w:t>
            </w:r>
            <w:r>
              <w:t xml:space="preserve">that is </w:t>
            </w:r>
            <w:r>
              <w:t xml:space="preserve">to be </w:t>
            </w:r>
            <w:r>
              <w:t xml:space="preserve">created by </w:t>
            </w:r>
            <w:r>
              <w:t>the studied f</w:t>
            </w:r>
            <w:r>
              <w:t xml:space="preserve">ormat is </w:t>
            </w:r>
            <w:r>
              <w:t>interoperab</w:t>
            </w:r>
            <w:r>
              <w:t>le.</w:t>
            </w:r>
          </w:p>
          <w:p w:rsidR="00382F3F" w:rsidRDefault="006A520C" w:rsidP="00311B44">
            <w:pPr>
              <w:jc w:val="both"/>
            </w:pPr>
          </w:p>
          <w:p w:rsidR="00382F3F" w:rsidRDefault="006A520C" w:rsidP="00311B44">
            <w:pPr>
              <w:jc w:val="both"/>
            </w:pPr>
            <w:r>
              <w:t xml:space="preserve">The substitute does not include </w:t>
            </w:r>
            <w:r>
              <w:t>a provision requiring</w:t>
            </w:r>
            <w:r>
              <w:t xml:space="preserve"> the mobile application to be developed</w:t>
            </w:r>
            <w:r>
              <w:t xml:space="preserve"> by TDEM</w:t>
            </w:r>
            <w:r>
              <w:t xml:space="preserve"> in consultation with the Texas A&amp;M Forest Service</w:t>
            </w:r>
            <w:r>
              <w:t xml:space="preserve"> and does not include a provision requiring TDEM to consult with the Texas A&amp;M Engineering Extension </w:t>
            </w:r>
            <w:r>
              <w:t>Service in developing standards for the use of social media as a communication tool by governmental entities.</w:t>
            </w:r>
          </w:p>
          <w:p w:rsidR="00014CDE" w:rsidRPr="00014CDE" w:rsidRDefault="006A520C" w:rsidP="00311B44">
            <w:pPr>
              <w:jc w:val="both"/>
            </w:pPr>
          </w:p>
        </w:tc>
      </w:tr>
      <w:tr w:rsidR="00991E4D" w:rsidTr="00345119">
        <w:tc>
          <w:tcPr>
            <w:tcW w:w="9576" w:type="dxa"/>
          </w:tcPr>
          <w:p w:rsidR="00857022" w:rsidRPr="009C1E9A" w:rsidRDefault="006A520C" w:rsidP="00311B44">
            <w:pPr>
              <w:rPr>
                <w:b/>
                <w:u w:val="single"/>
              </w:rPr>
            </w:pPr>
          </w:p>
        </w:tc>
      </w:tr>
      <w:tr w:rsidR="00991E4D" w:rsidTr="00345119">
        <w:tc>
          <w:tcPr>
            <w:tcW w:w="9576" w:type="dxa"/>
          </w:tcPr>
          <w:p w:rsidR="00857022" w:rsidRPr="00857022" w:rsidRDefault="006A520C" w:rsidP="00311B44">
            <w:pPr>
              <w:jc w:val="both"/>
            </w:pPr>
          </w:p>
        </w:tc>
      </w:tr>
    </w:tbl>
    <w:p w:rsidR="008423E4" w:rsidRPr="00BE0E75" w:rsidRDefault="006A52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520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520C">
      <w:r>
        <w:separator/>
      </w:r>
    </w:p>
  </w:endnote>
  <w:endnote w:type="continuationSeparator" w:id="0">
    <w:p w:rsidR="00000000" w:rsidRDefault="006A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1E4D" w:rsidTr="009C1E9A">
      <w:trPr>
        <w:cantSplit/>
      </w:trPr>
      <w:tc>
        <w:tcPr>
          <w:tcW w:w="0" w:type="pct"/>
        </w:tcPr>
        <w:p w:rsidR="00137D90" w:rsidRDefault="006A52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52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52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52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52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1E4D" w:rsidTr="009C1E9A">
      <w:trPr>
        <w:cantSplit/>
      </w:trPr>
      <w:tc>
        <w:tcPr>
          <w:tcW w:w="0" w:type="pct"/>
        </w:tcPr>
        <w:p w:rsidR="00EC379B" w:rsidRDefault="006A52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52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24024</w:t>
          </w:r>
        </w:p>
      </w:tc>
      <w:tc>
        <w:tcPr>
          <w:tcW w:w="2453" w:type="pct"/>
        </w:tcPr>
        <w:p w:rsidR="00EC379B" w:rsidRDefault="006A52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19.92.1519</w:t>
          </w:r>
          <w:r>
            <w:fldChar w:fldCharType="end"/>
          </w:r>
        </w:p>
      </w:tc>
    </w:tr>
    <w:tr w:rsidR="00991E4D" w:rsidTr="009C1E9A">
      <w:trPr>
        <w:cantSplit/>
      </w:trPr>
      <w:tc>
        <w:tcPr>
          <w:tcW w:w="0" w:type="pct"/>
        </w:tcPr>
        <w:p w:rsidR="00EC379B" w:rsidRDefault="006A52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52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21980</w:t>
          </w:r>
        </w:p>
      </w:tc>
      <w:tc>
        <w:tcPr>
          <w:tcW w:w="2453" w:type="pct"/>
        </w:tcPr>
        <w:p w:rsidR="00EC379B" w:rsidRDefault="006A520C" w:rsidP="006D504F">
          <w:pPr>
            <w:pStyle w:val="Footer"/>
            <w:rPr>
              <w:rStyle w:val="PageNumber"/>
            </w:rPr>
          </w:pPr>
        </w:p>
        <w:p w:rsidR="00EC379B" w:rsidRDefault="006A52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1E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52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A52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52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520C">
      <w:r>
        <w:separator/>
      </w:r>
    </w:p>
  </w:footnote>
  <w:footnote w:type="continuationSeparator" w:id="0">
    <w:p w:rsidR="00000000" w:rsidRDefault="006A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5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585A"/>
    <w:multiLevelType w:val="hybridMultilevel"/>
    <w:tmpl w:val="92E62E4C"/>
    <w:lvl w:ilvl="0" w:tplc="FCB08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25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C9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C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7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02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E9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8D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89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1704"/>
    <w:multiLevelType w:val="hybridMultilevel"/>
    <w:tmpl w:val="5EA69528"/>
    <w:lvl w:ilvl="0" w:tplc="7996D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4C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C7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83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EF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21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2E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02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0B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5A46"/>
    <w:multiLevelType w:val="hybridMultilevel"/>
    <w:tmpl w:val="10C00D28"/>
    <w:lvl w:ilvl="0" w:tplc="9FE83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A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06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7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2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45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01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86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A3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4D"/>
    <w:rsid w:val="006A520C"/>
    <w:rsid w:val="009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8434D4-FFB7-4015-AA11-E8ED3D42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6A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A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4704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HB02325 (Committee Report (Substituted))</vt:lpstr>
    </vt:vector>
  </TitlesOfParts>
  <Company>State of Texas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24024</dc:subject>
  <dc:creator>State of Texas</dc:creator>
  <dc:description>HB 2325 by Metcalf-(H)Homeland Security &amp; Public Safety (Substitute Document Number: 86R 21980)</dc:description>
  <cp:lastModifiedBy>Stacey Nicchio</cp:lastModifiedBy>
  <cp:revision>2</cp:revision>
  <cp:lastPrinted>2003-11-26T17:21:00Z</cp:lastPrinted>
  <dcterms:created xsi:type="dcterms:W3CDTF">2019-04-04T22:12:00Z</dcterms:created>
  <dcterms:modified xsi:type="dcterms:W3CDTF">2019-04-04T22:12:00Z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19.92.1519</vt:lpwstr>
  </property>
</Properties>
</file>