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6CAD" w:rsidTr="00345119">
        <w:tc>
          <w:tcPr>
            <w:tcW w:w="9576" w:type="dxa"/>
            <w:noWrap/>
          </w:tcPr>
          <w:p w:rsidR="008423E4" w:rsidRPr="0022177D" w:rsidRDefault="007C76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7613" w:rsidP="008423E4">
      <w:pPr>
        <w:jc w:val="center"/>
      </w:pPr>
    </w:p>
    <w:p w:rsidR="008423E4" w:rsidRPr="00B31F0E" w:rsidRDefault="007C7613" w:rsidP="008423E4"/>
    <w:p w:rsidR="008423E4" w:rsidRPr="00742794" w:rsidRDefault="007C76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6CAD" w:rsidTr="00345119">
        <w:tc>
          <w:tcPr>
            <w:tcW w:w="9576" w:type="dxa"/>
          </w:tcPr>
          <w:p w:rsidR="008423E4" w:rsidRPr="00861995" w:rsidRDefault="007C7613" w:rsidP="00345119">
            <w:pPr>
              <w:jc w:val="right"/>
            </w:pPr>
            <w:r>
              <w:t>H.B. 2330</w:t>
            </w:r>
          </w:p>
        </w:tc>
      </w:tr>
      <w:tr w:rsidR="00906CAD" w:rsidTr="00345119">
        <w:tc>
          <w:tcPr>
            <w:tcW w:w="9576" w:type="dxa"/>
          </w:tcPr>
          <w:p w:rsidR="008423E4" w:rsidRPr="00861995" w:rsidRDefault="007C7613" w:rsidP="00B707B3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906CAD" w:rsidTr="00345119">
        <w:tc>
          <w:tcPr>
            <w:tcW w:w="9576" w:type="dxa"/>
          </w:tcPr>
          <w:p w:rsidR="008423E4" w:rsidRPr="00861995" w:rsidRDefault="007C7613" w:rsidP="00345119">
            <w:pPr>
              <w:jc w:val="right"/>
            </w:pPr>
            <w:r>
              <w:t>Homeland Security &amp; Public Safety</w:t>
            </w:r>
          </w:p>
        </w:tc>
      </w:tr>
      <w:tr w:rsidR="00906CAD" w:rsidTr="00345119">
        <w:tc>
          <w:tcPr>
            <w:tcW w:w="9576" w:type="dxa"/>
          </w:tcPr>
          <w:p w:rsidR="008423E4" w:rsidRDefault="007C7613" w:rsidP="00B707B3">
            <w:pPr>
              <w:jc w:val="right"/>
            </w:pPr>
            <w:r>
              <w:t>Committee Report (Unamended)</w:t>
            </w:r>
          </w:p>
        </w:tc>
      </w:tr>
    </w:tbl>
    <w:p w:rsidR="008423E4" w:rsidRDefault="007C7613" w:rsidP="008423E4">
      <w:pPr>
        <w:tabs>
          <w:tab w:val="right" w:pos="9360"/>
        </w:tabs>
      </w:pPr>
    </w:p>
    <w:p w:rsidR="008423E4" w:rsidRDefault="007C7613" w:rsidP="008423E4"/>
    <w:p w:rsidR="008423E4" w:rsidRDefault="007C76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06CAD" w:rsidTr="00345119">
        <w:tc>
          <w:tcPr>
            <w:tcW w:w="9576" w:type="dxa"/>
          </w:tcPr>
          <w:p w:rsidR="008423E4" w:rsidRPr="00A8133F" w:rsidRDefault="007C7613" w:rsidP="00C341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7613" w:rsidP="00C3411A"/>
          <w:p w:rsidR="008423E4" w:rsidRDefault="007C7613" w:rsidP="00C341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there is a need for better case management services to help </w:t>
            </w:r>
            <w:r>
              <w:t xml:space="preserve">the </w:t>
            </w:r>
            <w:r>
              <w:t>survivors</w:t>
            </w:r>
            <w:r>
              <w:t xml:space="preserve"> of natural disasters, like </w:t>
            </w:r>
            <w:r w:rsidRPr="00FB15F5">
              <w:t>Hurricane Harvey</w:t>
            </w:r>
            <w:r>
              <w:t>,</w:t>
            </w:r>
            <w:r>
              <w:t xml:space="preserve"> </w:t>
            </w:r>
            <w:r>
              <w:t xml:space="preserve">more easily </w:t>
            </w:r>
            <w:r>
              <w:t>receive</w:t>
            </w:r>
            <w:r>
              <w:t xml:space="preserve"> certain disaster</w:t>
            </w:r>
            <w:r>
              <w:t xml:space="preserve"> recovery assistance.</w:t>
            </w:r>
            <w:r>
              <w:t xml:space="preserve"> H.B. 2330</w:t>
            </w:r>
            <w:r>
              <w:t xml:space="preserve"> seeks to address this issue by</w:t>
            </w:r>
            <w:r>
              <w:t xml:space="preserve"> provid</w:t>
            </w:r>
            <w:r>
              <w:t>ing</w:t>
            </w:r>
            <w:r>
              <w:t xml:space="preserve"> for a</w:t>
            </w:r>
            <w:r>
              <w:t xml:space="preserve"> </w:t>
            </w:r>
            <w:r w:rsidRPr="00FB15F5">
              <w:t xml:space="preserve">study </w:t>
            </w:r>
            <w:r>
              <w:t>to determine t</w:t>
            </w:r>
            <w:r w:rsidRPr="00FB15F5">
              <w:t xml:space="preserve">he feasibility </w:t>
            </w:r>
            <w:r>
              <w:t xml:space="preserve">of developing </w:t>
            </w:r>
            <w:r w:rsidRPr="00987B5A">
              <w:t xml:space="preserve">a </w:t>
            </w:r>
            <w:r w:rsidRPr="00231A72">
              <w:t xml:space="preserve">streamlined </w:t>
            </w:r>
            <w:r>
              <w:t>s</w:t>
            </w:r>
            <w:r>
              <w:t>tate case management system for</w:t>
            </w:r>
            <w:r>
              <w:t xml:space="preserve"> </w:t>
            </w:r>
            <w:r>
              <w:t xml:space="preserve">such </w:t>
            </w:r>
            <w:r>
              <w:t>disaster assistance</w:t>
            </w:r>
            <w:r w:rsidRPr="00987B5A">
              <w:t xml:space="preserve">. </w:t>
            </w:r>
          </w:p>
          <w:p w:rsidR="008423E4" w:rsidRPr="00E26B13" w:rsidRDefault="007C7613" w:rsidP="00C3411A">
            <w:pPr>
              <w:rPr>
                <w:b/>
              </w:rPr>
            </w:pPr>
          </w:p>
        </w:tc>
      </w:tr>
      <w:tr w:rsidR="00906CAD" w:rsidTr="00345119">
        <w:tc>
          <w:tcPr>
            <w:tcW w:w="9576" w:type="dxa"/>
          </w:tcPr>
          <w:p w:rsidR="0017725B" w:rsidRDefault="007C7613" w:rsidP="00C341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7613" w:rsidP="00C3411A">
            <w:pPr>
              <w:rPr>
                <w:b/>
                <w:u w:val="single"/>
              </w:rPr>
            </w:pPr>
          </w:p>
          <w:p w:rsidR="00FE3CDB" w:rsidRPr="00FE3CDB" w:rsidRDefault="007C7613" w:rsidP="00C341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7C7613" w:rsidP="00C3411A">
            <w:pPr>
              <w:rPr>
                <w:b/>
                <w:u w:val="single"/>
              </w:rPr>
            </w:pPr>
          </w:p>
        </w:tc>
      </w:tr>
      <w:tr w:rsidR="00906CAD" w:rsidTr="00345119">
        <w:tc>
          <w:tcPr>
            <w:tcW w:w="9576" w:type="dxa"/>
          </w:tcPr>
          <w:p w:rsidR="008423E4" w:rsidRPr="00A8133F" w:rsidRDefault="007C7613" w:rsidP="00C341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7613" w:rsidP="00C3411A"/>
          <w:p w:rsidR="00FE3CDB" w:rsidRDefault="007C7613" w:rsidP="00C341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:rsidR="008423E4" w:rsidRPr="00E21FDC" w:rsidRDefault="007C7613" w:rsidP="00C3411A">
            <w:pPr>
              <w:rPr>
                <w:b/>
              </w:rPr>
            </w:pPr>
          </w:p>
        </w:tc>
      </w:tr>
      <w:tr w:rsidR="00906CAD" w:rsidTr="00345119">
        <w:tc>
          <w:tcPr>
            <w:tcW w:w="9576" w:type="dxa"/>
          </w:tcPr>
          <w:p w:rsidR="008423E4" w:rsidRPr="00A8133F" w:rsidRDefault="007C7613" w:rsidP="00C341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7613" w:rsidP="00C3411A"/>
          <w:p w:rsidR="006D2288" w:rsidRDefault="007C7613" w:rsidP="00C3411A">
            <w:pPr>
              <w:pStyle w:val="Header"/>
              <w:jc w:val="both"/>
            </w:pPr>
            <w:r>
              <w:t>H.B. 2330 require</w:t>
            </w:r>
            <w:r>
              <w:t>s</w:t>
            </w:r>
            <w:r>
              <w:t xml:space="preserve"> the Health and Human Services Commission (HHSC) and the Texas Division of Emergency Management (TDEM) to conduct a study to determine the feasibility of developing: </w:t>
            </w:r>
          </w:p>
          <w:p w:rsidR="006D2288" w:rsidRDefault="007C7613" w:rsidP="00C3411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single intake form that would compile all information </w:t>
            </w:r>
            <w:r>
              <w:t>needed to obtain disaster assistance from multiple state and federal programs for an individual who needs assistance as a result of a disaster</w:t>
            </w:r>
            <w:r>
              <w:t>;</w:t>
            </w:r>
          </w:p>
          <w:p w:rsidR="006D2288" w:rsidRDefault="007C7613" w:rsidP="00C3411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automated intake system for collecting the information</w:t>
            </w:r>
            <w:r>
              <w:t>;</w:t>
            </w:r>
            <w:r>
              <w:t xml:space="preserve"> and</w:t>
            </w:r>
          </w:p>
          <w:p w:rsidR="008423E4" w:rsidRDefault="007C7613" w:rsidP="00C341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state case management system for disaster assis</w:t>
            </w:r>
            <w:r>
              <w:t xml:space="preserve">tance, administered by HHSC, that is similar to the FEMA case management system and </w:t>
            </w:r>
            <w:r>
              <w:t xml:space="preserve">that </w:t>
            </w:r>
            <w:r>
              <w:t>includes contracting with nonprofit vendors to hire caseworkers and provide case management services.</w:t>
            </w:r>
          </w:p>
          <w:p w:rsidR="00850BB4" w:rsidRDefault="007C7613" w:rsidP="00C3411A">
            <w:pPr>
              <w:pStyle w:val="Header"/>
              <w:jc w:val="both"/>
            </w:pPr>
          </w:p>
          <w:p w:rsidR="00FE3CDB" w:rsidRDefault="007C7613" w:rsidP="00C3411A">
            <w:pPr>
              <w:pStyle w:val="Header"/>
              <w:jc w:val="both"/>
            </w:pPr>
            <w:r>
              <w:t>H.B. 2330</w:t>
            </w:r>
            <w:r>
              <w:t xml:space="preserve"> requires HHSC and TDEM to coordinate with FEMA and oth</w:t>
            </w:r>
            <w:r>
              <w:t xml:space="preserve">er appropriate state and federal agencies to conduct the study and </w:t>
            </w:r>
            <w:r>
              <w:t xml:space="preserve">requires HHSC and TDEM to </w:t>
            </w:r>
            <w:r>
              <w:t>determine</w:t>
            </w:r>
            <w:r>
              <w:t xml:space="preserve"> </w:t>
            </w:r>
            <w:r>
              <w:t xml:space="preserve">whether FEMA and </w:t>
            </w:r>
            <w:r>
              <w:t>those</w:t>
            </w:r>
            <w:r>
              <w:t xml:space="preserve"> agencies will accept the</w:t>
            </w:r>
            <w:r>
              <w:t xml:space="preserve"> single intake</w:t>
            </w:r>
            <w:r>
              <w:t xml:space="preserve"> form</w:t>
            </w:r>
            <w:r>
              <w:t xml:space="preserve"> and to determine certain</w:t>
            </w:r>
            <w:r>
              <w:t xml:space="preserve"> </w:t>
            </w:r>
            <w:r>
              <w:t>cost</w:t>
            </w:r>
            <w:r>
              <w:t>s</w:t>
            </w:r>
            <w:r>
              <w:t xml:space="preserve"> </w:t>
            </w:r>
            <w:r>
              <w:t>associated with t</w:t>
            </w:r>
            <w:r>
              <w:t>he form</w:t>
            </w:r>
            <w:r>
              <w:t>,</w:t>
            </w:r>
            <w:r>
              <w:t xml:space="preserve"> the </w:t>
            </w:r>
            <w:r>
              <w:t xml:space="preserve">automated </w:t>
            </w:r>
            <w:r>
              <w:t xml:space="preserve">intake </w:t>
            </w:r>
            <w:r>
              <w:t>system</w:t>
            </w:r>
            <w:r>
              <w:t xml:space="preserve">, </w:t>
            </w:r>
            <w:r>
              <w:t>and</w:t>
            </w:r>
            <w:r>
              <w:t xml:space="preserve"> a state case management system</w:t>
            </w:r>
            <w:r>
              <w:t>,</w:t>
            </w:r>
            <w:r>
              <w:t xml:space="preserve"> </w:t>
            </w:r>
            <w:r>
              <w:t xml:space="preserve">including </w:t>
            </w:r>
            <w:r>
              <w:t>the extent to which federal reimbursement is available</w:t>
            </w:r>
            <w:r>
              <w:t xml:space="preserve"> for the system</w:t>
            </w:r>
            <w:r>
              <w:t>.</w:t>
            </w:r>
            <w:r>
              <w:t xml:space="preserve"> </w:t>
            </w:r>
            <w:r>
              <w:t>The bill requires HHSC and TDEM, not later than September 1, 2020, to prepare and submit a written report to the legislature containing the</w:t>
            </w:r>
            <w:r>
              <w:t xml:space="preserve"> findings of the study and any recommendations. The bill authorizes HHSC and TDEM to implement the</w:t>
            </w:r>
            <w:r>
              <w:t xml:space="preserve"> single intake</w:t>
            </w:r>
            <w:r>
              <w:t xml:space="preserve"> form, </w:t>
            </w:r>
            <w:r>
              <w:t xml:space="preserve">automated </w:t>
            </w:r>
            <w:r>
              <w:t xml:space="preserve">intake system, and </w:t>
            </w:r>
            <w:r>
              <w:t xml:space="preserve">state </w:t>
            </w:r>
            <w:r>
              <w:t xml:space="preserve">case management system </w:t>
            </w:r>
            <w:r>
              <w:t>if</w:t>
            </w:r>
            <w:r>
              <w:t xml:space="preserve"> </w:t>
            </w:r>
            <w:r>
              <w:t xml:space="preserve">HHSC and TDEM </w:t>
            </w:r>
            <w:r>
              <w:t>determin</w:t>
            </w:r>
            <w:r>
              <w:t>e</w:t>
            </w:r>
            <w:r>
              <w:t>, based on the study, that doing so will result in no</w:t>
            </w:r>
            <w:r>
              <w:t xml:space="preserve"> additional cost to the state. The</w:t>
            </w:r>
            <w:r>
              <w:t xml:space="preserve"> bill's</w:t>
            </w:r>
            <w:r>
              <w:t xml:space="preserve"> provisions expire January 1, 2021.</w:t>
            </w:r>
          </w:p>
          <w:p w:rsidR="008423E4" w:rsidRPr="00835628" w:rsidRDefault="007C7613" w:rsidP="00C3411A">
            <w:pPr>
              <w:rPr>
                <w:b/>
              </w:rPr>
            </w:pPr>
          </w:p>
        </w:tc>
      </w:tr>
      <w:tr w:rsidR="00906CAD" w:rsidTr="00345119">
        <w:tc>
          <w:tcPr>
            <w:tcW w:w="9576" w:type="dxa"/>
          </w:tcPr>
          <w:p w:rsidR="00DD3346" w:rsidRDefault="007C7613" w:rsidP="00C3411A">
            <w:pPr>
              <w:rPr>
                <w:b/>
                <w:u w:val="single"/>
              </w:rPr>
            </w:pPr>
          </w:p>
          <w:p w:rsidR="00DD3346" w:rsidRDefault="007C7613" w:rsidP="00C3411A">
            <w:pPr>
              <w:rPr>
                <w:b/>
                <w:u w:val="single"/>
              </w:rPr>
            </w:pPr>
          </w:p>
          <w:p w:rsidR="008423E4" w:rsidRPr="00A8133F" w:rsidRDefault="007C7613" w:rsidP="00C341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7613" w:rsidP="00C3411A"/>
          <w:p w:rsidR="008423E4" w:rsidRPr="003624F2" w:rsidRDefault="007C7613" w:rsidP="00C341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C7613" w:rsidP="00C3411A">
            <w:pPr>
              <w:rPr>
                <w:b/>
              </w:rPr>
            </w:pPr>
          </w:p>
        </w:tc>
      </w:tr>
    </w:tbl>
    <w:p w:rsidR="008423E4" w:rsidRPr="00BE0E75" w:rsidRDefault="007C76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761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613">
      <w:r>
        <w:separator/>
      </w:r>
    </w:p>
  </w:endnote>
  <w:endnote w:type="continuationSeparator" w:id="0">
    <w:p w:rsidR="00000000" w:rsidRDefault="007C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6CAD" w:rsidTr="009C1E9A">
      <w:trPr>
        <w:cantSplit/>
      </w:trPr>
      <w:tc>
        <w:tcPr>
          <w:tcW w:w="0" w:type="pct"/>
        </w:tcPr>
        <w:p w:rsidR="00137D90" w:rsidRDefault="007C76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76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76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76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76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6CAD" w:rsidTr="009C1E9A">
      <w:trPr>
        <w:cantSplit/>
      </w:trPr>
      <w:tc>
        <w:tcPr>
          <w:tcW w:w="0" w:type="pct"/>
        </w:tcPr>
        <w:p w:rsidR="00EC379B" w:rsidRDefault="007C76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76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20114</w:t>
          </w:r>
        </w:p>
      </w:tc>
      <w:tc>
        <w:tcPr>
          <w:tcW w:w="2453" w:type="pct"/>
        </w:tcPr>
        <w:p w:rsidR="00EC379B" w:rsidRDefault="007C76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19.74.926</w:t>
          </w:r>
          <w:r>
            <w:fldChar w:fldCharType="end"/>
          </w:r>
        </w:p>
      </w:tc>
    </w:tr>
    <w:tr w:rsidR="00906CAD" w:rsidTr="009C1E9A">
      <w:trPr>
        <w:cantSplit/>
      </w:trPr>
      <w:tc>
        <w:tcPr>
          <w:tcW w:w="0" w:type="pct"/>
        </w:tcPr>
        <w:p w:rsidR="00EC379B" w:rsidRDefault="007C76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76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7613" w:rsidP="006D504F">
          <w:pPr>
            <w:pStyle w:val="Footer"/>
            <w:rPr>
              <w:rStyle w:val="PageNumber"/>
            </w:rPr>
          </w:pPr>
        </w:p>
        <w:p w:rsidR="00EC379B" w:rsidRDefault="007C76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6C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76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C76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76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613">
      <w:r>
        <w:separator/>
      </w:r>
    </w:p>
  </w:footnote>
  <w:footnote w:type="continuationSeparator" w:id="0">
    <w:p w:rsidR="00000000" w:rsidRDefault="007C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7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5B5"/>
    <w:multiLevelType w:val="hybridMultilevel"/>
    <w:tmpl w:val="D8FE22BC"/>
    <w:lvl w:ilvl="0" w:tplc="A810F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8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C7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A4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F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44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3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8B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01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36AE"/>
    <w:multiLevelType w:val="hybridMultilevel"/>
    <w:tmpl w:val="E88CF616"/>
    <w:lvl w:ilvl="0" w:tplc="EB28D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B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8D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05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A7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AB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0A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23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D"/>
    <w:rsid w:val="007C7613"/>
    <w:rsid w:val="009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D44A7-551E-47D8-96ED-3B91435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3C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C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2271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HB02330 (Committee Report (Unamended))</vt:lpstr>
    </vt:vector>
  </TitlesOfParts>
  <Company>State of Texas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20114</dc:subject>
  <dc:creator>State of Texas</dc:creator>
  <dc:description>HB 2330 by Walle-(H)Homeland Security &amp; Public Safety</dc:description>
  <cp:lastModifiedBy>Stacey Nicchio</cp:lastModifiedBy>
  <cp:revision>2</cp:revision>
  <cp:lastPrinted>2003-11-26T17:21:00Z</cp:lastPrinted>
  <dcterms:created xsi:type="dcterms:W3CDTF">2019-04-04T21:59:00Z</dcterms:created>
  <dcterms:modified xsi:type="dcterms:W3CDTF">2019-04-04T21:59:00Z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19.74.926</vt:lpwstr>
  </property>
</Properties>
</file>