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6D7CA3" w:rsidTr="00345119">
        <w:tc>
          <w:tcPr>
            <w:tcW w:w="9576" w:type="dxa"/>
            <w:noWrap/>
          </w:tcPr>
          <w:p w:rsidR="008423E4" w:rsidRPr="0022177D" w:rsidRDefault="00620E2C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620E2C" w:rsidP="008423E4">
      <w:pPr>
        <w:jc w:val="center"/>
      </w:pPr>
    </w:p>
    <w:p w:rsidR="008423E4" w:rsidRPr="00B31F0E" w:rsidRDefault="00620E2C" w:rsidP="008423E4"/>
    <w:p w:rsidR="008423E4" w:rsidRPr="00742794" w:rsidRDefault="00620E2C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D7CA3" w:rsidTr="00345119">
        <w:tc>
          <w:tcPr>
            <w:tcW w:w="9576" w:type="dxa"/>
          </w:tcPr>
          <w:p w:rsidR="008423E4" w:rsidRPr="00861995" w:rsidRDefault="00620E2C" w:rsidP="00345119">
            <w:pPr>
              <w:jc w:val="right"/>
            </w:pPr>
            <w:r>
              <w:t>C.S.H.B. 2345</w:t>
            </w:r>
          </w:p>
        </w:tc>
      </w:tr>
      <w:tr w:rsidR="006D7CA3" w:rsidTr="00345119">
        <w:tc>
          <w:tcPr>
            <w:tcW w:w="9576" w:type="dxa"/>
          </w:tcPr>
          <w:p w:rsidR="008423E4" w:rsidRPr="00861995" w:rsidRDefault="00620E2C" w:rsidP="00C4546E">
            <w:pPr>
              <w:jc w:val="right"/>
            </w:pPr>
            <w:r>
              <w:t xml:space="preserve">By: </w:t>
            </w:r>
            <w:r>
              <w:t>Walle</w:t>
            </w:r>
          </w:p>
        </w:tc>
      </w:tr>
      <w:tr w:rsidR="006D7CA3" w:rsidTr="00345119">
        <w:tc>
          <w:tcPr>
            <w:tcW w:w="9576" w:type="dxa"/>
          </w:tcPr>
          <w:p w:rsidR="008423E4" w:rsidRPr="00861995" w:rsidRDefault="00620E2C" w:rsidP="00345119">
            <w:pPr>
              <w:jc w:val="right"/>
            </w:pPr>
            <w:r>
              <w:t>Homeland Security &amp; Public Safety</w:t>
            </w:r>
          </w:p>
        </w:tc>
      </w:tr>
      <w:tr w:rsidR="006D7CA3" w:rsidTr="00345119">
        <w:tc>
          <w:tcPr>
            <w:tcW w:w="9576" w:type="dxa"/>
          </w:tcPr>
          <w:p w:rsidR="008423E4" w:rsidRDefault="00620E2C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620E2C" w:rsidP="008423E4">
      <w:pPr>
        <w:tabs>
          <w:tab w:val="right" w:pos="9360"/>
        </w:tabs>
      </w:pPr>
    </w:p>
    <w:p w:rsidR="008423E4" w:rsidRDefault="00620E2C" w:rsidP="008423E4"/>
    <w:p w:rsidR="008423E4" w:rsidRDefault="00620E2C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6D7CA3" w:rsidTr="00345119">
        <w:tc>
          <w:tcPr>
            <w:tcW w:w="9576" w:type="dxa"/>
          </w:tcPr>
          <w:p w:rsidR="008423E4" w:rsidRPr="00A8133F" w:rsidRDefault="00620E2C" w:rsidP="00B8211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620E2C" w:rsidP="00B8211C"/>
          <w:p w:rsidR="008423E4" w:rsidRDefault="00620E2C" w:rsidP="00B8211C">
            <w:pPr>
              <w:pStyle w:val="Header"/>
              <w:jc w:val="both"/>
            </w:pPr>
            <w:r>
              <w:t>T</w:t>
            </w:r>
            <w:r>
              <w:t xml:space="preserve">he </w:t>
            </w:r>
            <w:r>
              <w:t>r</w:t>
            </w:r>
            <w:r>
              <w:t xml:space="preserve">eport </w:t>
            </w:r>
            <w:r>
              <w:t>issued by</w:t>
            </w:r>
            <w:r>
              <w:t xml:space="preserve"> the Governor’s Commission to Rebuild Texas</w:t>
            </w:r>
            <w:r>
              <w:t xml:space="preserve">, which was established following Hurricane Harvey, </w:t>
            </w:r>
            <w:r>
              <w:t>included recommendations</w:t>
            </w:r>
            <w:r>
              <w:t xml:space="preserve"> relating to resources to facilitate disaster mitigation, response</w:t>
            </w:r>
            <w:r>
              <w:t>,</w:t>
            </w:r>
            <w:r>
              <w:t xml:space="preserve"> and recovery. </w:t>
            </w:r>
            <w:r>
              <w:t>C.S.</w:t>
            </w:r>
            <w:r>
              <w:t>H</w:t>
            </w:r>
            <w:r>
              <w:t>.</w:t>
            </w:r>
            <w:r>
              <w:t>B</w:t>
            </w:r>
            <w:r>
              <w:t>.</w:t>
            </w:r>
            <w:r>
              <w:t xml:space="preserve"> 2345 </w:t>
            </w:r>
            <w:r>
              <w:t xml:space="preserve">seeks to act on </w:t>
            </w:r>
            <w:r>
              <w:t xml:space="preserve">certain of </w:t>
            </w:r>
            <w:r>
              <w:t xml:space="preserve">those recommendations by </w:t>
            </w:r>
            <w:r>
              <w:t>requiring</w:t>
            </w:r>
            <w:r>
              <w:t xml:space="preserve"> the Texas Water Development Board to create a comprehensive inventory of n</w:t>
            </w:r>
            <w:r>
              <w:t>eeded mitigation and resiliency projects statewide</w:t>
            </w:r>
            <w:r>
              <w:t>,</w:t>
            </w:r>
            <w:r>
              <w:t xml:space="preserve"> </w:t>
            </w:r>
            <w:r>
              <w:t xml:space="preserve">by </w:t>
            </w:r>
            <w:r>
              <w:t>establishing</w:t>
            </w:r>
            <w:r>
              <w:t xml:space="preserve"> the Institute for </w:t>
            </w:r>
            <w:r>
              <w:t xml:space="preserve">a </w:t>
            </w:r>
            <w:r>
              <w:t xml:space="preserve">Disaster </w:t>
            </w:r>
            <w:r>
              <w:t>Resilient Texas</w:t>
            </w:r>
            <w:r>
              <w:t>,</w:t>
            </w:r>
            <w:r>
              <w:t xml:space="preserve"> and</w:t>
            </w:r>
            <w:r>
              <w:t xml:space="preserve"> </w:t>
            </w:r>
            <w:r>
              <w:t xml:space="preserve">by </w:t>
            </w:r>
            <w:r>
              <w:t xml:space="preserve">establishing </w:t>
            </w:r>
            <w:r>
              <w:t>the</w:t>
            </w:r>
            <w:r>
              <w:t xml:space="preserve"> Flood Event Partnership Options Special Study Committee.</w:t>
            </w:r>
          </w:p>
          <w:p w:rsidR="008423E4" w:rsidRPr="00E26B13" w:rsidRDefault="00620E2C" w:rsidP="00B8211C">
            <w:pPr>
              <w:rPr>
                <w:b/>
              </w:rPr>
            </w:pPr>
          </w:p>
        </w:tc>
      </w:tr>
      <w:tr w:rsidR="006D7CA3" w:rsidTr="00345119">
        <w:tc>
          <w:tcPr>
            <w:tcW w:w="9576" w:type="dxa"/>
          </w:tcPr>
          <w:p w:rsidR="0017725B" w:rsidRDefault="00620E2C" w:rsidP="00B821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620E2C" w:rsidP="00B8211C">
            <w:pPr>
              <w:rPr>
                <w:b/>
                <w:u w:val="single"/>
              </w:rPr>
            </w:pPr>
          </w:p>
          <w:p w:rsidR="009D3069" w:rsidRPr="009D3069" w:rsidRDefault="00620E2C" w:rsidP="00B8211C">
            <w:pPr>
              <w:jc w:val="both"/>
            </w:pPr>
            <w:r>
              <w:t>It is the committee's opinion that</w:t>
            </w:r>
            <w:r>
              <w:t xml:space="preserve">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620E2C" w:rsidP="00B8211C">
            <w:pPr>
              <w:rPr>
                <w:b/>
                <w:u w:val="single"/>
              </w:rPr>
            </w:pPr>
          </w:p>
        </w:tc>
      </w:tr>
      <w:tr w:rsidR="006D7CA3" w:rsidTr="00345119">
        <w:tc>
          <w:tcPr>
            <w:tcW w:w="9576" w:type="dxa"/>
          </w:tcPr>
          <w:p w:rsidR="008423E4" w:rsidRPr="00A8133F" w:rsidRDefault="00620E2C" w:rsidP="00B8211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</w:t>
            </w:r>
            <w:r w:rsidRPr="009C1E9A">
              <w:rPr>
                <w:b/>
                <w:u w:val="single"/>
              </w:rPr>
              <w:t>RITY</w:t>
            </w:r>
            <w:r>
              <w:rPr>
                <w:b/>
              </w:rPr>
              <w:t xml:space="preserve"> </w:t>
            </w:r>
          </w:p>
          <w:p w:rsidR="008423E4" w:rsidRDefault="00620E2C" w:rsidP="00B8211C"/>
          <w:p w:rsidR="009D3069" w:rsidRDefault="00620E2C" w:rsidP="00B821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620E2C" w:rsidP="00B8211C">
            <w:pPr>
              <w:rPr>
                <w:b/>
              </w:rPr>
            </w:pPr>
          </w:p>
        </w:tc>
      </w:tr>
      <w:tr w:rsidR="006D7CA3" w:rsidTr="00345119">
        <w:tc>
          <w:tcPr>
            <w:tcW w:w="9576" w:type="dxa"/>
          </w:tcPr>
          <w:p w:rsidR="008423E4" w:rsidRPr="00A8133F" w:rsidRDefault="00620E2C" w:rsidP="00B8211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620E2C" w:rsidP="00B8211C"/>
          <w:p w:rsidR="002210D5" w:rsidRDefault="00620E2C" w:rsidP="00B8211C">
            <w:pPr>
              <w:pStyle w:val="Header"/>
              <w:jc w:val="both"/>
            </w:pPr>
            <w:r>
              <w:t>C.S.</w:t>
            </w:r>
            <w:r>
              <w:t>H.B. 2345 amends the Education Code to establish the Institute</w:t>
            </w:r>
            <w:r>
              <w:t xml:space="preserve"> for a Disaster Resilient Texas as a component of Texas A&amp;M University under the management and direct</w:t>
            </w:r>
            <w:r>
              <w:t>i</w:t>
            </w:r>
            <w:r>
              <w:t>o</w:t>
            </w:r>
            <w:r>
              <w:t>n</w:t>
            </w:r>
            <w:r>
              <w:t xml:space="preserve"> of </w:t>
            </w:r>
            <w:r>
              <w:t>the board of directors of The Texas A&amp;M University System</w:t>
            </w:r>
            <w:r>
              <w:t xml:space="preserve">. The bill </w:t>
            </w:r>
            <w:r>
              <w:t xml:space="preserve">sets out </w:t>
            </w:r>
            <w:r>
              <w:t>the institute</w:t>
            </w:r>
            <w:r>
              <w:t>'s duties</w:t>
            </w:r>
            <w:r>
              <w:t xml:space="preserve"> with respect to disaster</w:t>
            </w:r>
            <w:r>
              <w:t xml:space="preserve"> planning, mitigation, </w:t>
            </w:r>
            <w:r>
              <w:t xml:space="preserve">response, and recovery and flood planning and mitigation. </w:t>
            </w:r>
            <w:r>
              <w:t xml:space="preserve">The bill </w:t>
            </w:r>
            <w:r>
              <w:t>authorizes the institute to employ personnel</w:t>
            </w:r>
            <w:r>
              <w:t xml:space="preserve"> and</w:t>
            </w:r>
            <w:r>
              <w:t xml:space="preserve"> to accept a gift or grant from any public or private source for </w:t>
            </w:r>
            <w:r>
              <w:t xml:space="preserve">its </w:t>
            </w:r>
            <w:r>
              <w:t>benefit.</w:t>
            </w:r>
          </w:p>
          <w:p w:rsidR="002210D5" w:rsidRDefault="00620E2C" w:rsidP="00B8211C">
            <w:pPr>
              <w:pStyle w:val="Header"/>
              <w:jc w:val="both"/>
            </w:pPr>
          </w:p>
          <w:p w:rsidR="008423E4" w:rsidRDefault="00620E2C" w:rsidP="00B8211C">
            <w:pPr>
              <w:pStyle w:val="Header"/>
              <w:jc w:val="both"/>
            </w:pPr>
            <w:r>
              <w:t>C.S.</w:t>
            </w:r>
            <w:r>
              <w:t>H.B. 2345 amends the Water Code to require the Texas Water</w:t>
            </w:r>
            <w:r>
              <w:t xml:space="preserve"> Development Board to create an inventory of flood mitigation and resiliency projects, develop a method of prioritizing </w:t>
            </w:r>
            <w:r>
              <w:t xml:space="preserve">such </w:t>
            </w:r>
            <w:r>
              <w:t>projects</w:t>
            </w:r>
            <w:r>
              <w:t>,</w:t>
            </w:r>
            <w:r>
              <w:t xml:space="preserve"> and coordinate with the Institute for a Disaster</w:t>
            </w:r>
            <w:r>
              <w:t xml:space="preserve"> </w:t>
            </w:r>
            <w:r>
              <w:t>Resilient Texas</w:t>
            </w:r>
            <w:r>
              <w:t>.</w:t>
            </w:r>
          </w:p>
          <w:p w:rsidR="008B5A65" w:rsidRDefault="00620E2C" w:rsidP="00B8211C">
            <w:pPr>
              <w:pStyle w:val="Header"/>
              <w:jc w:val="both"/>
            </w:pPr>
          </w:p>
          <w:p w:rsidR="008B5A65" w:rsidRDefault="00620E2C" w:rsidP="00B8211C">
            <w:pPr>
              <w:pStyle w:val="Header"/>
              <w:jc w:val="both"/>
            </w:pPr>
            <w:r>
              <w:t xml:space="preserve">C.S.H.B. 2345 establishes the Flood Event Partnership </w:t>
            </w:r>
            <w:r>
              <w:t>Options Special Study Committee</w:t>
            </w:r>
            <w:r>
              <w:t xml:space="preserve"> </w:t>
            </w:r>
            <w:r>
              <w:t>to study</w:t>
            </w:r>
            <w:r>
              <w:t xml:space="preserve"> </w:t>
            </w:r>
            <w:r>
              <w:t>the appropriate structure, means of administration, and membership of state-local partnerships to address flooding events in Texas</w:t>
            </w:r>
            <w:r>
              <w:t>. The bill</w:t>
            </w:r>
            <w:r>
              <w:t xml:space="preserve"> sets</w:t>
            </w:r>
            <w:r>
              <w:t xml:space="preserve"> out</w:t>
            </w:r>
            <w:r>
              <w:t xml:space="preserve"> the </w:t>
            </w:r>
            <w:r>
              <w:t>factors to be addressed in</w:t>
            </w:r>
            <w:r>
              <w:t xml:space="preserve"> the study</w:t>
            </w:r>
            <w:r>
              <w:t xml:space="preserve"> and </w:t>
            </w:r>
            <w:r>
              <w:t xml:space="preserve">requires the committee to deliver a report </w:t>
            </w:r>
            <w:r>
              <w:t xml:space="preserve">not later than </w:t>
            </w:r>
            <w:r>
              <w:t xml:space="preserve">December </w:t>
            </w:r>
            <w:r>
              <w:t xml:space="preserve">1, 2020, </w:t>
            </w:r>
            <w:r>
              <w:t xml:space="preserve">on </w:t>
            </w:r>
            <w:r>
              <w:t>its</w:t>
            </w:r>
            <w:r>
              <w:t xml:space="preserve"> determinations based on the study</w:t>
            </w:r>
            <w:r>
              <w:t xml:space="preserve"> to specified state and legislative </w:t>
            </w:r>
            <w:r>
              <w:t>officers</w:t>
            </w:r>
            <w:r>
              <w:t xml:space="preserve"> and each member of the legislature</w:t>
            </w:r>
            <w:r>
              <w:t xml:space="preserve"> and</w:t>
            </w:r>
            <w:r>
              <w:t xml:space="preserve"> to deliver related information to t</w:t>
            </w:r>
            <w:r>
              <w:t>hose persons</w:t>
            </w:r>
            <w:r>
              <w:t xml:space="preserve"> on reque</w:t>
            </w:r>
            <w:r>
              <w:t>st.</w:t>
            </w:r>
            <w:r>
              <w:t xml:space="preserve"> The bill</w:t>
            </w:r>
            <w:r>
              <w:t xml:space="preserve"> </w:t>
            </w:r>
            <w:r>
              <w:t xml:space="preserve">sets out </w:t>
            </w:r>
            <w:r>
              <w:t>the committee's</w:t>
            </w:r>
            <w:r>
              <w:t xml:space="preserve"> composition, requires the governor to appoint the committee members not later than October 1, 2019</w:t>
            </w:r>
            <w:r>
              <w:t>, and</w:t>
            </w:r>
            <w:r>
              <w:t xml:space="preserve"> requires</w:t>
            </w:r>
            <w:r>
              <w:t xml:space="preserve"> </w:t>
            </w:r>
            <w:r>
              <w:t>The Texas A&amp;M University System</w:t>
            </w:r>
            <w:r>
              <w:t xml:space="preserve"> to provide the committee certain assistance and resources </w:t>
            </w:r>
            <w:r>
              <w:t xml:space="preserve">on request. </w:t>
            </w:r>
            <w:r>
              <w:t>The</w:t>
            </w:r>
            <w:r>
              <w:t xml:space="preserve"> committee is abolished and these provisions expire May 1, 2021.</w:t>
            </w:r>
          </w:p>
          <w:p w:rsidR="001A1F3A" w:rsidRPr="00835628" w:rsidRDefault="00620E2C" w:rsidP="00B8211C">
            <w:pPr>
              <w:pStyle w:val="Header"/>
              <w:jc w:val="both"/>
              <w:rPr>
                <w:b/>
              </w:rPr>
            </w:pPr>
          </w:p>
        </w:tc>
      </w:tr>
      <w:tr w:rsidR="006D7CA3" w:rsidTr="00345119">
        <w:tc>
          <w:tcPr>
            <w:tcW w:w="9576" w:type="dxa"/>
          </w:tcPr>
          <w:p w:rsidR="008423E4" w:rsidRPr="00A8133F" w:rsidRDefault="00620E2C" w:rsidP="00B8211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620E2C" w:rsidP="00B8211C"/>
          <w:p w:rsidR="008423E4" w:rsidRPr="003624F2" w:rsidRDefault="00620E2C" w:rsidP="00B821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2019.</w:t>
            </w:r>
          </w:p>
          <w:p w:rsidR="008423E4" w:rsidRPr="00233FDB" w:rsidRDefault="00620E2C" w:rsidP="00B8211C">
            <w:pPr>
              <w:rPr>
                <w:b/>
              </w:rPr>
            </w:pPr>
          </w:p>
        </w:tc>
      </w:tr>
      <w:tr w:rsidR="006D7CA3" w:rsidTr="00345119">
        <w:tc>
          <w:tcPr>
            <w:tcW w:w="9576" w:type="dxa"/>
          </w:tcPr>
          <w:p w:rsidR="00C4546E" w:rsidRDefault="00620E2C" w:rsidP="00B8211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C04F41" w:rsidRDefault="00620E2C" w:rsidP="00B8211C">
            <w:pPr>
              <w:jc w:val="both"/>
            </w:pPr>
          </w:p>
          <w:p w:rsidR="00C04F41" w:rsidRDefault="00620E2C" w:rsidP="00B8211C">
            <w:pPr>
              <w:jc w:val="both"/>
            </w:pPr>
            <w:r>
              <w:t>While C.S.H.B. 2345</w:t>
            </w:r>
            <w:r>
              <w:t xml:space="preserve"> may differ from the original in minor or nonsubstantive ways, the following summarizes the substantial differences between the introduced and committee substitute versions of the bill.</w:t>
            </w:r>
          </w:p>
          <w:p w:rsidR="00C04F41" w:rsidRDefault="00620E2C" w:rsidP="00B8211C">
            <w:pPr>
              <w:jc w:val="both"/>
            </w:pPr>
          </w:p>
          <w:p w:rsidR="007E4C57" w:rsidRDefault="00620E2C" w:rsidP="00B8211C">
            <w:pPr>
              <w:jc w:val="both"/>
            </w:pPr>
            <w:r>
              <w:t>The substitute includes applicable updated inundation maps</w:t>
            </w:r>
            <w:r>
              <w:t xml:space="preserve"> </w:t>
            </w:r>
            <w:r>
              <w:t xml:space="preserve">among </w:t>
            </w:r>
            <w:r>
              <w:t>the</w:t>
            </w:r>
            <w:r>
              <w:t xml:space="preserve"> </w:t>
            </w:r>
            <w:r>
              <w:t>comprehensive</w:t>
            </w:r>
            <w:r>
              <w:t xml:space="preserve"> flood-related information the institute is required to collect, display, and communicate.</w:t>
            </w:r>
            <w:r>
              <w:t xml:space="preserve"> </w:t>
            </w:r>
            <w:r>
              <w:t xml:space="preserve">The substitute </w:t>
            </w:r>
            <w:r>
              <w:t xml:space="preserve">includes counties among </w:t>
            </w:r>
            <w:r>
              <w:t>the</w:t>
            </w:r>
            <w:r>
              <w:t xml:space="preserve"> local governmental</w:t>
            </w:r>
            <w:r>
              <w:t xml:space="preserve"> entities for which a member of the Flood Event Partnership Options Special </w:t>
            </w:r>
            <w:r>
              <w:t xml:space="preserve">Study </w:t>
            </w:r>
            <w:r>
              <w:t>Committee</w:t>
            </w:r>
            <w:r>
              <w:t xml:space="preserve"> is appointed to represent</w:t>
            </w:r>
            <w:r>
              <w:t xml:space="preserve">. The substitute changes the </w:t>
            </w:r>
            <w:r>
              <w:t xml:space="preserve">deadline by which </w:t>
            </w:r>
            <w:r>
              <w:t>the committee is required to deliver the report from September 1, 2020, to December 1, 2020.</w:t>
            </w:r>
          </w:p>
          <w:p w:rsidR="00C04F41" w:rsidRPr="00C04F41" w:rsidRDefault="00620E2C" w:rsidP="00B8211C">
            <w:pPr>
              <w:jc w:val="both"/>
              <w:rPr>
                <w:b/>
                <w:u w:val="single"/>
              </w:rPr>
            </w:pPr>
          </w:p>
        </w:tc>
      </w:tr>
      <w:tr w:rsidR="006D7CA3" w:rsidTr="00345119">
        <w:tc>
          <w:tcPr>
            <w:tcW w:w="9576" w:type="dxa"/>
          </w:tcPr>
          <w:p w:rsidR="00C4546E" w:rsidRPr="009C1E9A" w:rsidRDefault="00620E2C" w:rsidP="00B8211C">
            <w:pPr>
              <w:rPr>
                <w:b/>
                <w:u w:val="single"/>
              </w:rPr>
            </w:pPr>
          </w:p>
        </w:tc>
      </w:tr>
      <w:tr w:rsidR="006D7CA3" w:rsidTr="00345119">
        <w:tc>
          <w:tcPr>
            <w:tcW w:w="9576" w:type="dxa"/>
          </w:tcPr>
          <w:p w:rsidR="00C4546E" w:rsidRPr="00C4546E" w:rsidRDefault="00620E2C" w:rsidP="00B8211C">
            <w:pPr>
              <w:jc w:val="both"/>
            </w:pPr>
          </w:p>
        </w:tc>
      </w:tr>
    </w:tbl>
    <w:p w:rsidR="008423E4" w:rsidRPr="00BE0E75" w:rsidRDefault="00620E2C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620E2C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20E2C">
      <w:r>
        <w:separator/>
      </w:r>
    </w:p>
  </w:endnote>
  <w:endnote w:type="continuationSeparator" w:id="0">
    <w:p w:rsidR="00000000" w:rsidRDefault="0062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20E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D7CA3" w:rsidTr="009C1E9A">
      <w:trPr>
        <w:cantSplit/>
      </w:trPr>
      <w:tc>
        <w:tcPr>
          <w:tcW w:w="0" w:type="pct"/>
        </w:tcPr>
        <w:p w:rsidR="00137D90" w:rsidRDefault="00620E2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620E2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620E2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620E2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620E2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D7CA3" w:rsidTr="009C1E9A">
      <w:trPr>
        <w:cantSplit/>
      </w:trPr>
      <w:tc>
        <w:tcPr>
          <w:tcW w:w="0" w:type="pct"/>
        </w:tcPr>
        <w:p w:rsidR="00EC379B" w:rsidRDefault="00620E2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620E2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24028</w:t>
          </w:r>
        </w:p>
      </w:tc>
      <w:tc>
        <w:tcPr>
          <w:tcW w:w="2453" w:type="pct"/>
        </w:tcPr>
        <w:p w:rsidR="00EC379B" w:rsidRDefault="00620E2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19.92.1350</w:t>
          </w:r>
          <w:r>
            <w:fldChar w:fldCharType="end"/>
          </w:r>
        </w:p>
      </w:tc>
    </w:tr>
    <w:tr w:rsidR="006D7CA3" w:rsidTr="009C1E9A">
      <w:trPr>
        <w:cantSplit/>
      </w:trPr>
      <w:tc>
        <w:tcPr>
          <w:tcW w:w="0" w:type="pct"/>
        </w:tcPr>
        <w:p w:rsidR="00EC379B" w:rsidRDefault="00620E2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620E2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22426</w:t>
          </w:r>
        </w:p>
      </w:tc>
      <w:tc>
        <w:tcPr>
          <w:tcW w:w="2453" w:type="pct"/>
        </w:tcPr>
        <w:p w:rsidR="00EC379B" w:rsidRDefault="00620E2C" w:rsidP="006D504F">
          <w:pPr>
            <w:pStyle w:val="Footer"/>
            <w:rPr>
              <w:rStyle w:val="PageNumber"/>
            </w:rPr>
          </w:pPr>
        </w:p>
        <w:p w:rsidR="00EC379B" w:rsidRDefault="00620E2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D7CA3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620E2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620E2C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620E2C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20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20E2C">
      <w:r>
        <w:separator/>
      </w:r>
    </w:p>
  </w:footnote>
  <w:footnote w:type="continuationSeparator" w:id="0">
    <w:p w:rsidR="00000000" w:rsidRDefault="00620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20E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20E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20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2A79"/>
    <w:multiLevelType w:val="hybridMultilevel"/>
    <w:tmpl w:val="608C632C"/>
    <w:lvl w:ilvl="0" w:tplc="1D56A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A8C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1811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C67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00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8E3D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A3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084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4A4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722E"/>
    <w:multiLevelType w:val="hybridMultilevel"/>
    <w:tmpl w:val="771A9C5C"/>
    <w:lvl w:ilvl="0" w:tplc="1E00605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35A0C03A" w:tentative="1">
      <w:start w:val="1"/>
      <w:numFmt w:val="lowerLetter"/>
      <w:lvlText w:val="%2."/>
      <w:lvlJc w:val="left"/>
      <w:pPr>
        <w:ind w:left="1440" w:hanging="360"/>
      </w:pPr>
    </w:lvl>
    <w:lvl w:ilvl="2" w:tplc="FEB8824E" w:tentative="1">
      <w:start w:val="1"/>
      <w:numFmt w:val="lowerRoman"/>
      <w:lvlText w:val="%3."/>
      <w:lvlJc w:val="right"/>
      <w:pPr>
        <w:ind w:left="2160" w:hanging="180"/>
      </w:pPr>
    </w:lvl>
    <w:lvl w:ilvl="3" w:tplc="5B100100" w:tentative="1">
      <w:start w:val="1"/>
      <w:numFmt w:val="decimal"/>
      <w:lvlText w:val="%4."/>
      <w:lvlJc w:val="left"/>
      <w:pPr>
        <w:ind w:left="2880" w:hanging="360"/>
      </w:pPr>
    </w:lvl>
    <w:lvl w:ilvl="4" w:tplc="D10AF746" w:tentative="1">
      <w:start w:val="1"/>
      <w:numFmt w:val="lowerLetter"/>
      <w:lvlText w:val="%5."/>
      <w:lvlJc w:val="left"/>
      <w:pPr>
        <w:ind w:left="3600" w:hanging="360"/>
      </w:pPr>
    </w:lvl>
    <w:lvl w:ilvl="5" w:tplc="F65475FC" w:tentative="1">
      <w:start w:val="1"/>
      <w:numFmt w:val="lowerRoman"/>
      <w:lvlText w:val="%6."/>
      <w:lvlJc w:val="right"/>
      <w:pPr>
        <w:ind w:left="4320" w:hanging="180"/>
      </w:pPr>
    </w:lvl>
    <w:lvl w:ilvl="6" w:tplc="CA90AA1C" w:tentative="1">
      <w:start w:val="1"/>
      <w:numFmt w:val="decimal"/>
      <w:lvlText w:val="%7."/>
      <w:lvlJc w:val="left"/>
      <w:pPr>
        <w:ind w:left="5040" w:hanging="360"/>
      </w:pPr>
    </w:lvl>
    <w:lvl w:ilvl="7" w:tplc="A36A9A54" w:tentative="1">
      <w:start w:val="1"/>
      <w:numFmt w:val="lowerLetter"/>
      <w:lvlText w:val="%8."/>
      <w:lvlJc w:val="left"/>
      <w:pPr>
        <w:ind w:left="5760" w:hanging="360"/>
      </w:pPr>
    </w:lvl>
    <w:lvl w:ilvl="8" w:tplc="29E837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7AC8"/>
    <w:multiLevelType w:val="hybridMultilevel"/>
    <w:tmpl w:val="365E2754"/>
    <w:lvl w:ilvl="0" w:tplc="C6727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BCA0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2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66A9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634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E03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A1D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29B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C49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63EBB"/>
    <w:multiLevelType w:val="hybridMultilevel"/>
    <w:tmpl w:val="EBACD614"/>
    <w:lvl w:ilvl="0" w:tplc="18E44F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2D435F6" w:tentative="1">
      <w:start w:val="1"/>
      <w:numFmt w:val="lowerLetter"/>
      <w:lvlText w:val="%2."/>
      <w:lvlJc w:val="left"/>
      <w:pPr>
        <w:ind w:left="1440" w:hanging="360"/>
      </w:pPr>
    </w:lvl>
    <w:lvl w:ilvl="2" w:tplc="7818BD00" w:tentative="1">
      <w:start w:val="1"/>
      <w:numFmt w:val="lowerRoman"/>
      <w:lvlText w:val="%3."/>
      <w:lvlJc w:val="right"/>
      <w:pPr>
        <w:ind w:left="2160" w:hanging="180"/>
      </w:pPr>
    </w:lvl>
    <w:lvl w:ilvl="3" w:tplc="52FAC79C" w:tentative="1">
      <w:start w:val="1"/>
      <w:numFmt w:val="decimal"/>
      <w:lvlText w:val="%4."/>
      <w:lvlJc w:val="left"/>
      <w:pPr>
        <w:ind w:left="2880" w:hanging="360"/>
      </w:pPr>
    </w:lvl>
    <w:lvl w:ilvl="4" w:tplc="2B6EA776" w:tentative="1">
      <w:start w:val="1"/>
      <w:numFmt w:val="lowerLetter"/>
      <w:lvlText w:val="%5."/>
      <w:lvlJc w:val="left"/>
      <w:pPr>
        <w:ind w:left="3600" w:hanging="360"/>
      </w:pPr>
    </w:lvl>
    <w:lvl w:ilvl="5" w:tplc="D1F8B472" w:tentative="1">
      <w:start w:val="1"/>
      <w:numFmt w:val="lowerRoman"/>
      <w:lvlText w:val="%6."/>
      <w:lvlJc w:val="right"/>
      <w:pPr>
        <w:ind w:left="4320" w:hanging="180"/>
      </w:pPr>
    </w:lvl>
    <w:lvl w:ilvl="6" w:tplc="E5BAB13E" w:tentative="1">
      <w:start w:val="1"/>
      <w:numFmt w:val="decimal"/>
      <w:lvlText w:val="%7."/>
      <w:lvlJc w:val="left"/>
      <w:pPr>
        <w:ind w:left="5040" w:hanging="360"/>
      </w:pPr>
    </w:lvl>
    <w:lvl w:ilvl="7" w:tplc="135CF91A" w:tentative="1">
      <w:start w:val="1"/>
      <w:numFmt w:val="lowerLetter"/>
      <w:lvlText w:val="%8."/>
      <w:lvlJc w:val="left"/>
      <w:pPr>
        <w:ind w:left="5760" w:hanging="360"/>
      </w:pPr>
    </w:lvl>
    <w:lvl w:ilvl="8" w:tplc="26F6030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A3"/>
    <w:rsid w:val="00620E2C"/>
    <w:rsid w:val="006D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63E5D7-D899-49A7-B82C-62C74093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73D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3D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3DC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3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3D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3115</Characters>
  <Application>Microsoft Office Word</Application>
  <DocSecurity>4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HB02345 (Committee Report (Substituted))</vt:lpstr>
    </vt:vector>
  </TitlesOfParts>
  <Company>State of Texas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24028</dc:subject>
  <dc:creator>State of Texas</dc:creator>
  <dc:description>HB 2345 by Walle-(H)Homeland Security &amp; Public Safety (Substitute Document Number: 86R 22426)</dc:description>
  <cp:lastModifiedBy>Laura Ramsay</cp:lastModifiedBy>
  <cp:revision>2</cp:revision>
  <cp:lastPrinted>2003-11-26T17:21:00Z</cp:lastPrinted>
  <dcterms:created xsi:type="dcterms:W3CDTF">2019-04-04T22:24:00Z</dcterms:created>
  <dcterms:modified xsi:type="dcterms:W3CDTF">2019-04-04T22:24:00Z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19.92.1350</vt:lpwstr>
  </property>
</Properties>
</file>