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17C7C" w:rsidTr="00345119">
        <w:tc>
          <w:tcPr>
            <w:tcW w:w="9576" w:type="dxa"/>
            <w:noWrap/>
          </w:tcPr>
          <w:p w:rsidR="008423E4" w:rsidRPr="0022177D" w:rsidRDefault="00856C5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56C5A" w:rsidP="008423E4">
      <w:pPr>
        <w:jc w:val="center"/>
      </w:pPr>
    </w:p>
    <w:p w:rsidR="008423E4" w:rsidRPr="00B31F0E" w:rsidRDefault="00856C5A" w:rsidP="008423E4"/>
    <w:p w:rsidR="008423E4" w:rsidRPr="00742794" w:rsidRDefault="00856C5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17C7C" w:rsidTr="00345119">
        <w:tc>
          <w:tcPr>
            <w:tcW w:w="9576" w:type="dxa"/>
          </w:tcPr>
          <w:p w:rsidR="008423E4" w:rsidRPr="00861995" w:rsidRDefault="00856C5A" w:rsidP="00345119">
            <w:pPr>
              <w:jc w:val="right"/>
            </w:pPr>
            <w:r>
              <w:t>C.S.H.B. 2358</w:t>
            </w:r>
          </w:p>
        </w:tc>
      </w:tr>
      <w:tr w:rsidR="00B17C7C" w:rsidTr="00345119">
        <w:tc>
          <w:tcPr>
            <w:tcW w:w="9576" w:type="dxa"/>
          </w:tcPr>
          <w:p w:rsidR="008423E4" w:rsidRPr="00861995" w:rsidRDefault="00856C5A" w:rsidP="004D146B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B17C7C" w:rsidTr="00345119">
        <w:tc>
          <w:tcPr>
            <w:tcW w:w="9576" w:type="dxa"/>
          </w:tcPr>
          <w:p w:rsidR="008423E4" w:rsidRPr="00861995" w:rsidRDefault="00856C5A" w:rsidP="00345119">
            <w:pPr>
              <w:jc w:val="right"/>
            </w:pPr>
            <w:r>
              <w:t>Ways &amp; Means</w:t>
            </w:r>
          </w:p>
        </w:tc>
      </w:tr>
      <w:tr w:rsidR="00B17C7C" w:rsidTr="00345119">
        <w:tc>
          <w:tcPr>
            <w:tcW w:w="9576" w:type="dxa"/>
          </w:tcPr>
          <w:p w:rsidR="008423E4" w:rsidRDefault="00856C5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56C5A" w:rsidP="008423E4">
      <w:pPr>
        <w:tabs>
          <w:tab w:val="right" w:pos="9360"/>
        </w:tabs>
      </w:pPr>
    </w:p>
    <w:p w:rsidR="008423E4" w:rsidRDefault="00856C5A" w:rsidP="008423E4"/>
    <w:p w:rsidR="008423E4" w:rsidRDefault="00856C5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17C7C" w:rsidTr="00345119">
        <w:tc>
          <w:tcPr>
            <w:tcW w:w="9576" w:type="dxa"/>
          </w:tcPr>
          <w:p w:rsidR="008423E4" w:rsidRPr="00A8133F" w:rsidRDefault="00856C5A" w:rsidP="00F41B3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56C5A" w:rsidP="00F41B33"/>
          <w:p w:rsidR="008423E4" w:rsidRDefault="00856C5A" w:rsidP="00F41B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sellers are currently prohibited from advertising the sale of a product for which the seller will absorb the sales tax </w:t>
            </w:r>
            <w:r w:rsidRPr="007753E2">
              <w:t xml:space="preserve">as an incentive to buy the product from the seller. </w:t>
            </w:r>
            <w:r>
              <w:t>C.S.</w:t>
            </w:r>
            <w:r w:rsidRPr="007753E2">
              <w:t>H</w:t>
            </w:r>
            <w:r>
              <w:t>.</w:t>
            </w:r>
            <w:r w:rsidRPr="007753E2">
              <w:t>B</w:t>
            </w:r>
            <w:r>
              <w:t>.</w:t>
            </w:r>
            <w:r w:rsidRPr="007753E2">
              <w:t xml:space="preserve"> 2358</w:t>
            </w:r>
            <w:r>
              <w:t xml:space="preserve"> seeks to increase</w:t>
            </w:r>
            <w:r w:rsidRPr="00E1702F">
              <w:t xml:space="preserve"> consumer purchasing power </w:t>
            </w:r>
            <w:r>
              <w:t xml:space="preserve">and </w:t>
            </w:r>
            <w:r>
              <w:t>potential seller revenue by</w:t>
            </w:r>
            <w:r w:rsidRPr="007753E2">
              <w:t xml:space="preserve"> allow</w:t>
            </w:r>
            <w:r>
              <w:t>ing</w:t>
            </w:r>
            <w:r w:rsidRPr="007753E2">
              <w:t xml:space="preserve"> sellers to pay the taxes on a product they are selling.   </w:t>
            </w:r>
          </w:p>
          <w:p w:rsidR="008423E4" w:rsidRPr="00E26B13" w:rsidRDefault="00856C5A" w:rsidP="00F41B33">
            <w:pPr>
              <w:rPr>
                <w:b/>
              </w:rPr>
            </w:pPr>
          </w:p>
        </w:tc>
      </w:tr>
      <w:tr w:rsidR="00B17C7C" w:rsidTr="00345119">
        <w:tc>
          <w:tcPr>
            <w:tcW w:w="9576" w:type="dxa"/>
          </w:tcPr>
          <w:p w:rsidR="0017725B" w:rsidRDefault="00856C5A" w:rsidP="00F41B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56C5A" w:rsidP="00F41B33">
            <w:pPr>
              <w:rPr>
                <w:b/>
                <w:u w:val="single"/>
              </w:rPr>
            </w:pPr>
          </w:p>
          <w:p w:rsidR="0054617C" w:rsidRPr="0054617C" w:rsidRDefault="00856C5A" w:rsidP="00F41B33">
            <w:pPr>
              <w:jc w:val="both"/>
            </w:pPr>
            <w:r>
              <w:t>It is the committee's opinion that this bill does not expressly create a criminal offense, increase the punishment for an existing cr</w:t>
            </w:r>
            <w:r>
              <w:t>iminal offense or category of offenses, or change the eligibility of a person for community supervision, parole, or mandatory supervision.</w:t>
            </w:r>
          </w:p>
          <w:p w:rsidR="0017725B" w:rsidRPr="0017725B" w:rsidRDefault="00856C5A" w:rsidP="00F41B33">
            <w:pPr>
              <w:rPr>
                <w:b/>
                <w:u w:val="single"/>
              </w:rPr>
            </w:pPr>
          </w:p>
        </w:tc>
      </w:tr>
      <w:tr w:rsidR="00B17C7C" w:rsidTr="00345119">
        <w:tc>
          <w:tcPr>
            <w:tcW w:w="9576" w:type="dxa"/>
          </w:tcPr>
          <w:p w:rsidR="008423E4" w:rsidRPr="00A8133F" w:rsidRDefault="00856C5A" w:rsidP="00F41B3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56C5A" w:rsidP="00F41B33"/>
          <w:p w:rsidR="0054617C" w:rsidRDefault="00856C5A" w:rsidP="00F41B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</w:t>
            </w:r>
            <w:r>
              <w:t>ing authority to a state officer, department, agency, or institution.</w:t>
            </w:r>
          </w:p>
          <w:p w:rsidR="008423E4" w:rsidRPr="00E21FDC" w:rsidRDefault="00856C5A" w:rsidP="00F41B33">
            <w:pPr>
              <w:rPr>
                <w:b/>
              </w:rPr>
            </w:pPr>
          </w:p>
        </w:tc>
      </w:tr>
      <w:tr w:rsidR="00B17C7C" w:rsidTr="00345119">
        <w:tc>
          <w:tcPr>
            <w:tcW w:w="9576" w:type="dxa"/>
          </w:tcPr>
          <w:p w:rsidR="008423E4" w:rsidRPr="00A8133F" w:rsidRDefault="00856C5A" w:rsidP="00F41B3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56C5A" w:rsidP="00F41B33"/>
          <w:p w:rsidR="003F78CA" w:rsidRDefault="00856C5A" w:rsidP="00F41B33">
            <w:pPr>
              <w:pStyle w:val="Header"/>
              <w:jc w:val="both"/>
            </w:pPr>
            <w:r>
              <w:t>C.S.</w:t>
            </w:r>
            <w:r>
              <w:t>H.B. 235</w:t>
            </w:r>
            <w:r>
              <w:t xml:space="preserve">8 amends the Tax Code to </w:t>
            </w:r>
            <w:r>
              <w:t xml:space="preserve">revise </w:t>
            </w:r>
            <w:r>
              <w:t xml:space="preserve">the conduct that constitutes the offense of prohibited advertising </w:t>
            </w:r>
            <w:r>
              <w:t xml:space="preserve">relating </w:t>
            </w:r>
            <w:r>
              <w:t xml:space="preserve">to sales tax absorption </w:t>
            </w:r>
            <w:r>
              <w:t xml:space="preserve">by </w:t>
            </w:r>
            <w:r>
              <w:t xml:space="preserve">a retailer </w:t>
            </w:r>
            <w:r>
              <w:t xml:space="preserve">to make the offense applicable </w:t>
            </w:r>
            <w:r>
              <w:t>to</w:t>
            </w:r>
            <w:r>
              <w:t xml:space="preserve"> a retailer who</w:t>
            </w:r>
            <w:r>
              <w:t xml:space="preserve"> </w:t>
            </w:r>
            <w:r w:rsidRPr="009C1AAF">
              <w:t xml:space="preserve">directly or indirectly </w:t>
            </w:r>
            <w:r w:rsidRPr="009C1AAF">
              <w:t>advertis</w:t>
            </w:r>
            <w:r>
              <w:t>es</w:t>
            </w:r>
            <w:r w:rsidRPr="009C1AAF">
              <w:t>, hold</w:t>
            </w:r>
            <w:r>
              <w:t>s</w:t>
            </w:r>
            <w:r w:rsidRPr="009C1AAF">
              <w:t xml:space="preserve"> out, or stat</w:t>
            </w:r>
            <w:r>
              <w:t>es</w:t>
            </w:r>
            <w:r w:rsidRPr="009C1AAF">
              <w:t xml:space="preserve"> to a customer or to the public</w:t>
            </w:r>
            <w:r>
              <w:t xml:space="preserve"> that the tax is not part of the sales price payable </w:t>
            </w:r>
            <w:r>
              <w:t>by</w:t>
            </w:r>
            <w:r>
              <w:t xml:space="preserve"> the customer. The bill </w:t>
            </w:r>
            <w:r>
              <w:t>authorizes a retailer to directly or indir</w:t>
            </w:r>
            <w:r>
              <w:t>ectly advertise, hold out, or state to a customer or to the public that the retailer will pay the</w:t>
            </w:r>
            <w:r>
              <w:t xml:space="preserve"> sales</w:t>
            </w:r>
            <w:r>
              <w:t xml:space="preserve"> tax for the customer if</w:t>
            </w:r>
            <w:r>
              <w:t>:</w:t>
            </w:r>
          </w:p>
          <w:p w:rsidR="003F78CA" w:rsidRDefault="00856C5A" w:rsidP="00F41B33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the retailer indicates in the advertisement, holding out, or statement that the retailer is paying the</w:t>
            </w:r>
            <w:r>
              <w:t xml:space="preserve"> sales</w:t>
            </w:r>
            <w:r>
              <w:t xml:space="preserve"> tax for the custom</w:t>
            </w:r>
            <w:r>
              <w:t xml:space="preserve">er; </w:t>
            </w:r>
          </w:p>
          <w:p w:rsidR="003F78CA" w:rsidRDefault="00856C5A" w:rsidP="00F41B33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the retailer does not indicate or imply in the advertisement, holding out, or statement that the sale is exempt or excluded from taxation; and </w:t>
            </w:r>
          </w:p>
          <w:p w:rsidR="00A77706" w:rsidRDefault="00856C5A" w:rsidP="00F41B3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any purchaser's receipt or other statement given to the customer listing the sales price paid or to be paid</w:t>
            </w:r>
            <w:r>
              <w:t xml:space="preserve"> by the customer separately states the amount of the tax and indicates that the tax will be paid by the retailer.</w:t>
            </w:r>
          </w:p>
          <w:p w:rsidR="00DF4E29" w:rsidRDefault="00856C5A" w:rsidP="00F41B3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C73762" w:rsidRDefault="00856C5A" w:rsidP="00F41B3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C.S.H.B.</w:t>
            </w:r>
            <w:r>
              <w:t xml:space="preserve"> </w:t>
            </w:r>
            <w:r>
              <w:t>2358</w:t>
            </w:r>
            <w:r>
              <w:t xml:space="preserve">, </w:t>
            </w:r>
            <w:r>
              <w:t xml:space="preserve">with respect to a </w:t>
            </w:r>
            <w:r>
              <w:t xml:space="preserve">retailer who </w:t>
            </w:r>
            <w:r>
              <w:t>directly or indirectly advertises, holds out, or states to the customer</w:t>
            </w:r>
            <w:r>
              <w:t xml:space="preserve"> or to the public that t</w:t>
            </w:r>
            <w:r>
              <w:t xml:space="preserve">he retailer will pay the tax for the customer </w:t>
            </w:r>
            <w:r>
              <w:t xml:space="preserve">and who </w:t>
            </w:r>
            <w:r>
              <w:t>makes a sale of a taxable item</w:t>
            </w:r>
            <w:r>
              <w:t>:</w:t>
            </w:r>
          </w:p>
          <w:p w:rsidR="00C73762" w:rsidRDefault="00856C5A" w:rsidP="00F41B33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establishes that such </w:t>
            </w:r>
            <w:r>
              <w:t xml:space="preserve">a </w:t>
            </w:r>
            <w:r>
              <w:t>retailer</w:t>
            </w:r>
            <w:r>
              <w:t xml:space="preserve"> is presumed to have received or collecte</w:t>
            </w:r>
            <w:r>
              <w:t>d the amount of the sales and use</w:t>
            </w:r>
            <w:r>
              <w:t xml:space="preserve"> taxes imposed on the taxable item</w:t>
            </w:r>
            <w:r>
              <w:t>;</w:t>
            </w:r>
          </w:p>
          <w:p w:rsidR="00C73762" w:rsidRDefault="00856C5A" w:rsidP="00F41B33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requires the retailer to hold that amount in trust for the benefit of the state; and </w:t>
            </w:r>
          </w:p>
          <w:p w:rsidR="00C73762" w:rsidRDefault="00856C5A" w:rsidP="00F41B33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makes the retailer liable to the state for that amount plus any accrued penalties and interest on the amount.</w:t>
            </w:r>
          </w:p>
          <w:p w:rsidR="008423E4" w:rsidRPr="00835628" w:rsidRDefault="00856C5A" w:rsidP="00F41B3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b/>
              </w:rPr>
            </w:pPr>
          </w:p>
        </w:tc>
      </w:tr>
      <w:tr w:rsidR="00B17C7C" w:rsidTr="00345119">
        <w:tc>
          <w:tcPr>
            <w:tcW w:w="9576" w:type="dxa"/>
          </w:tcPr>
          <w:p w:rsidR="008423E4" w:rsidRPr="00A8133F" w:rsidRDefault="00856C5A" w:rsidP="00F41B3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56C5A" w:rsidP="00F41B33"/>
          <w:p w:rsidR="008423E4" w:rsidRPr="003624F2" w:rsidRDefault="00856C5A" w:rsidP="00F41B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October 1, 2019.</w:t>
            </w:r>
          </w:p>
          <w:p w:rsidR="008423E4" w:rsidRPr="00233FDB" w:rsidRDefault="00856C5A" w:rsidP="00F41B33">
            <w:pPr>
              <w:rPr>
                <w:b/>
              </w:rPr>
            </w:pPr>
          </w:p>
        </w:tc>
      </w:tr>
      <w:tr w:rsidR="00B17C7C" w:rsidTr="00345119">
        <w:tc>
          <w:tcPr>
            <w:tcW w:w="9576" w:type="dxa"/>
          </w:tcPr>
          <w:p w:rsidR="004D146B" w:rsidRDefault="00856C5A" w:rsidP="00F41B3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</w:t>
            </w:r>
            <w:r>
              <w:rPr>
                <w:b/>
                <w:u w:val="single"/>
              </w:rPr>
              <w:t xml:space="preserve"> AND SUBSTITUTE</w:t>
            </w:r>
          </w:p>
          <w:p w:rsidR="007F5FE3" w:rsidRDefault="00856C5A" w:rsidP="00F41B33">
            <w:pPr>
              <w:jc w:val="both"/>
            </w:pPr>
          </w:p>
          <w:p w:rsidR="007F5FE3" w:rsidRDefault="00856C5A" w:rsidP="00F41B33">
            <w:pPr>
              <w:jc w:val="both"/>
            </w:pPr>
            <w:r>
              <w:t>While C.S.H.B. 2358 may differ from the original in minor or nonsubstantive ways, the following summarizes the substantial differences between the introduced and committee substitute versions of the bill.</w:t>
            </w:r>
          </w:p>
          <w:p w:rsidR="00D04232" w:rsidRDefault="00856C5A" w:rsidP="00F41B33">
            <w:pPr>
              <w:jc w:val="both"/>
            </w:pPr>
          </w:p>
          <w:p w:rsidR="00D04232" w:rsidRDefault="00856C5A" w:rsidP="00F41B33">
            <w:pPr>
              <w:jc w:val="both"/>
            </w:pPr>
            <w:r>
              <w:t>The substitute does no</w:t>
            </w:r>
            <w:r>
              <w:t>t include p</w:t>
            </w:r>
            <w:r>
              <w:t xml:space="preserve">rovisions </w:t>
            </w:r>
            <w:r>
              <w:t>relating to the rights</w:t>
            </w:r>
            <w:r>
              <w:t>,</w:t>
            </w:r>
            <w:r>
              <w:t xml:space="preserve"> duties</w:t>
            </w:r>
            <w:r>
              <w:t>, and requirements</w:t>
            </w:r>
            <w:r>
              <w:t xml:space="preserve"> under the Limited Sales, Excise, and Use Tax Act of</w:t>
            </w:r>
            <w:r>
              <w:t xml:space="preserve"> a</w:t>
            </w:r>
            <w:r w:rsidRPr="00BE6976">
              <w:t xml:space="preserve"> person who owns or operates a physical, electronic, or online marketplace and processes taxable sales or payments for marketplace sellers</w:t>
            </w:r>
            <w:r>
              <w:t>.</w:t>
            </w:r>
          </w:p>
          <w:p w:rsidR="00C00D81" w:rsidRDefault="00856C5A" w:rsidP="00F41B33">
            <w:pPr>
              <w:jc w:val="both"/>
            </w:pPr>
          </w:p>
          <w:p w:rsidR="00C00D81" w:rsidRDefault="00856C5A" w:rsidP="00F41B33">
            <w:pPr>
              <w:jc w:val="both"/>
            </w:pPr>
            <w:r>
              <w:t>The</w:t>
            </w:r>
            <w:r>
              <w:t xml:space="preserve"> substitute </w:t>
            </w:r>
            <w:r>
              <w:t>revises</w:t>
            </w:r>
            <w:r>
              <w:t xml:space="preserve"> provisions relating to the sales tax liability of a retailer who advertises, holds out, or states to a customer</w:t>
            </w:r>
            <w:r>
              <w:t xml:space="preserve"> or</w:t>
            </w:r>
            <w:r>
              <w:t xml:space="preserve"> to the public that the retailer will pay the sales tax for the customer.</w:t>
            </w:r>
          </w:p>
          <w:p w:rsidR="00DF4E29" w:rsidRDefault="00856C5A" w:rsidP="00F41B33">
            <w:pPr>
              <w:jc w:val="both"/>
            </w:pPr>
          </w:p>
          <w:p w:rsidR="00DF4E29" w:rsidRDefault="00856C5A" w:rsidP="00F41B33">
            <w:pPr>
              <w:jc w:val="both"/>
            </w:pPr>
            <w:r>
              <w:t>The substitute does not include provisions esta</w:t>
            </w:r>
            <w:r>
              <w:t>blishing that the</w:t>
            </w:r>
            <w:r w:rsidRPr="00DF4E29">
              <w:t xml:space="preserve"> sale of a taxable item made by a marketplace seller through a marketplace is consummated at the location in </w:t>
            </w:r>
            <w:r>
              <w:t xml:space="preserve">Texas </w:t>
            </w:r>
            <w:r w:rsidRPr="00DF4E29">
              <w:t>to which the item is shipped or delivered or at which possession is taken by the purchaser</w:t>
            </w:r>
            <w:r>
              <w:t>.</w:t>
            </w:r>
          </w:p>
          <w:p w:rsidR="007F5FE3" w:rsidRPr="007F5FE3" w:rsidRDefault="00856C5A" w:rsidP="00F41B33">
            <w:pPr>
              <w:jc w:val="both"/>
            </w:pPr>
          </w:p>
        </w:tc>
      </w:tr>
      <w:tr w:rsidR="00B17C7C" w:rsidTr="00345119">
        <w:tc>
          <w:tcPr>
            <w:tcW w:w="9576" w:type="dxa"/>
          </w:tcPr>
          <w:p w:rsidR="004D146B" w:rsidRPr="009C1E9A" w:rsidRDefault="00856C5A" w:rsidP="00F41B33">
            <w:pPr>
              <w:rPr>
                <w:b/>
                <w:u w:val="single"/>
              </w:rPr>
            </w:pPr>
          </w:p>
        </w:tc>
      </w:tr>
      <w:tr w:rsidR="00B17C7C" w:rsidTr="00345119">
        <w:tc>
          <w:tcPr>
            <w:tcW w:w="9576" w:type="dxa"/>
          </w:tcPr>
          <w:p w:rsidR="004D146B" w:rsidRPr="004D146B" w:rsidRDefault="00856C5A" w:rsidP="00F41B33">
            <w:pPr>
              <w:jc w:val="both"/>
            </w:pPr>
          </w:p>
        </w:tc>
      </w:tr>
    </w:tbl>
    <w:p w:rsidR="008423E4" w:rsidRPr="00BE0E75" w:rsidRDefault="00856C5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56C5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6C5A">
      <w:r>
        <w:separator/>
      </w:r>
    </w:p>
  </w:endnote>
  <w:endnote w:type="continuationSeparator" w:id="0">
    <w:p w:rsidR="00000000" w:rsidRDefault="0085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6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17C7C" w:rsidTr="009C1E9A">
      <w:trPr>
        <w:cantSplit/>
      </w:trPr>
      <w:tc>
        <w:tcPr>
          <w:tcW w:w="0" w:type="pct"/>
        </w:tcPr>
        <w:p w:rsidR="00137D90" w:rsidRDefault="00856C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56C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56C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56C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56C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7C7C" w:rsidTr="009C1E9A">
      <w:trPr>
        <w:cantSplit/>
      </w:trPr>
      <w:tc>
        <w:tcPr>
          <w:tcW w:w="0" w:type="pct"/>
        </w:tcPr>
        <w:p w:rsidR="00EC379B" w:rsidRDefault="00856C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56C5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27985</w:t>
          </w:r>
        </w:p>
      </w:tc>
      <w:tc>
        <w:tcPr>
          <w:tcW w:w="2453" w:type="pct"/>
        </w:tcPr>
        <w:p w:rsidR="00EC379B" w:rsidRDefault="00856C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19.107.1142</w:t>
          </w:r>
          <w:r>
            <w:fldChar w:fldCharType="end"/>
          </w:r>
        </w:p>
      </w:tc>
    </w:tr>
    <w:tr w:rsidR="00B17C7C" w:rsidTr="009C1E9A">
      <w:trPr>
        <w:cantSplit/>
      </w:trPr>
      <w:tc>
        <w:tcPr>
          <w:tcW w:w="0" w:type="pct"/>
        </w:tcPr>
        <w:p w:rsidR="00EC379B" w:rsidRDefault="00856C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56C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20786</w:t>
          </w:r>
        </w:p>
      </w:tc>
      <w:tc>
        <w:tcPr>
          <w:tcW w:w="2453" w:type="pct"/>
        </w:tcPr>
        <w:p w:rsidR="00EC379B" w:rsidRDefault="00856C5A" w:rsidP="006D504F">
          <w:pPr>
            <w:pStyle w:val="Footer"/>
            <w:rPr>
              <w:rStyle w:val="PageNumber"/>
            </w:rPr>
          </w:pPr>
        </w:p>
        <w:p w:rsidR="00EC379B" w:rsidRDefault="00856C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7C7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56C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56C5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56C5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6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6C5A">
      <w:r>
        <w:separator/>
      </w:r>
    </w:p>
  </w:footnote>
  <w:footnote w:type="continuationSeparator" w:id="0">
    <w:p w:rsidR="00000000" w:rsidRDefault="00856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6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6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6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23CE"/>
    <w:multiLevelType w:val="hybridMultilevel"/>
    <w:tmpl w:val="956497F0"/>
    <w:lvl w:ilvl="0" w:tplc="80188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09B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943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4E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6C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D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09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CDC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CB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6825"/>
    <w:multiLevelType w:val="hybridMultilevel"/>
    <w:tmpl w:val="1F16E168"/>
    <w:lvl w:ilvl="0" w:tplc="D95C5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E23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1A9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AF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EA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A83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A9D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07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E471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78E9"/>
    <w:multiLevelType w:val="hybridMultilevel"/>
    <w:tmpl w:val="93A4A7DA"/>
    <w:lvl w:ilvl="0" w:tplc="BD6C7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528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226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26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E2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4EB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68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05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52F8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12093"/>
    <w:multiLevelType w:val="hybridMultilevel"/>
    <w:tmpl w:val="DA1615F6"/>
    <w:lvl w:ilvl="0" w:tplc="89EA7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474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944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A4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AE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2C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CA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EA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5C66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A75A5"/>
    <w:multiLevelType w:val="hybridMultilevel"/>
    <w:tmpl w:val="0AFCE612"/>
    <w:lvl w:ilvl="0" w:tplc="6AACA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BA4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885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8B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A4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A22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28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4B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23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C"/>
    <w:rsid w:val="00856C5A"/>
    <w:rsid w:val="00B1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476AB9-D620-4192-AFA1-6ABCC5A3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D61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6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61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6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6103"/>
    <w:rPr>
      <w:b/>
      <w:bCs/>
    </w:rPr>
  </w:style>
  <w:style w:type="character" w:styleId="Hyperlink">
    <w:name w:val="Hyperlink"/>
    <w:basedOn w:val="DefaultParagraphFont"/>
    <w:unhideWhenUsed/>
    <w:rsid w:val="00BD61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C278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67F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2999</Characters>
  <Application>Microsoft Office Word</Application>
  <DocSecurity>4</DocSecurity>
  <Lines>80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HB02358 (Committee Report (Substituted))</vt:lpstr>
    </vt:vector>
  </TitlesOfParts>
  <Company>State of Texas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27985</dc:subject>
  <dc:creator>State of Texas</dc:creator>
  <dc:description>HB 2358 by Guillen-(H)Ways &amp; Means (Substitute Document Number: 86R 20786)</dc:description>
  <cp:lastModifiedBy>Stacey Nicchio</cp:lastModifiedBy>
  <cp:revision>2</cp:revision>
  <cp:lastPrinted>2003-11-26T17:21:00Z</cp:lastPrinted>
  <dcterms:created xsi:type="dcterms:W3CDTF">2019-04-23T22:48:00Z</dcterms:created>
  <dcterms:modified xsi:type="dcterms:W3CDTF">2019-04-23T22:48:00Z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19.107.1142</vt:lpwstr>
  </property>
</Properties>
</file>