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4DC8" w:rsidTr="00345119">
        <w:tc>
          <w:tcPr>
            <w:tcW w:w="9576" w:type="dxa"/>
            <w:noWrap/>
          </w:tcPr>
          <w:p w:rsidR="008423E4" w:rsidRPr="0022177D" w:rsidRDefault="00570D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0D90" w:rsidP="008423E4">
      <w:pPr>
        <w:jc w:val="center"/>
      </w:pPr>
    </w:p>
    <w:p w:rsidR="008423E4" w:rsidRPr="00B31F0E" w:rsidRDefault="00570D90" w:rsidP="008423E4"/>
    <w:p w:rsidR="008423E4" w:rsidRPr="00742794" w:rsidRDefault="00570D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4DC8" w:rsidTr="00345119">
        <w:tc>
          <w:tcPr>
            <w:tcW w:w="9576" w:type="dxa"/>
          </w:tcPr>
          <w:p w:rsidR="008423E4" w:rsidRPr="00861995" w:rsidRDefault="00570D90" w:rsidP="00345119">
            <w:pPr>
              <w:jc w:val="right"/>
            </w:pPr>
            <w:r>
              <w:t>H.B. 2362</w:t>
            </w:r>
          </w:p>
        </w:tc>
      </w:tr>
      <w:tr w:rsidR="00C34DC8" w:rsidTr="00345119">
        <w:tc>
          <w:tcPr>
            <w:tcW w:w="9576" w:type="dxa"/>
          </w:tcPr>
          <w:p w:rsidR="008423E4" w:rsidRPr="00861995" w:rsidRDefault="00570D90" w:rsidP="004152E1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C34DC8" w:rsidTr="00345119">
        <w:tc>
          <w:tcPr>
            <w:tcW w:w="9576" w:type="dxa"/>
          </w:tcPr>
          <w:p w:rsidR="008423E4" w:rsidRPr="00861995" w:rsidRDefault="00570D90" w:rsidP="00345119">
            <w:pPr>
              <w:jc w:val="right"/>
            </w:pPr>
            <w:r>
              <w:t>Judiciary &amp; Civil Jurisprudence</w:t>
            </w:r>
          </w:p>
        </w:tc>
      </w:tr>
      <w:tr w:rsidR="00C34DC8" w:rsidTr="00345119">
        <w:tc>
          <w:tcPr>
            <w:tcW w:w="9576" w:type="dxa"/>
          </w:tcPr>
          <w:p w:rsidR="008423E4" w:rsidRDefault="00570D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0D90" w:rsidP="008423E4">
      <w:pPr>
        <w:tabs>
          <w:tab w:val="right" w:pos="9360"/>
        </w:tabs>
      </w:pPr>
    </w:p>
    <w:p w:rsidR="008423E4" w:rsidRDefault="00570D90" w:rsidP="008423E4"/>
    <w:p w:rsidR="008423E4" w:rsidRDefault="00570D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4DC8" w:rsidTr="00345119">
        <w:tc>
          <w:tcPr>
            <w:tcW w:w="9576" w:type="dxa"/>
          </w:tcPr>
          <w:p w:rsidR="008423E4" w:rsidRPr="00A8133F" w:rsidRDefault="00570D90" w:rsidP="00650F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0D90" w:rsidP="00650F7E"/>
          <w:p w:rsidR="008423E4" w:rsidRDefault="00570D90" w:rsidP="00650F7E">
            <w:pPr>
              <w:pStyle w:val="Header"/>
              <w:jc w:val="both"/>
            </w:pPr>
            <w:r>
              <w:t>It has been suggested that the law relating to</w:t>
            </w:r>
            <w:r>
              <w:t xml:space="preserve"> the standard of proof for</w:t>
            </w:r>
            <w:r>
              <w:t xml:space="preserve"> medical malpractice cases is overbroad</w:t>
            </w:r>
            <w:r>
              <w:t xml:space="preserve"> and has led to unnecessary lawsuits</w:t>
            </w:r>
            <w:r>
              <w:t>. H.B. 2362 attempts to address th</w:t>
            </w:r>
            <w:r>
              <w:t>is</w:t>
            </w:r>
            <w:r>
              <w:t xml:space="preserve"> issue by specifying certain situations </w:t>
            </w:r>
            <w:r>
              <w:t>where</w:t>
            </w:r>
            <w:r>
              <w:t xml:space="preserve"> </w:t>
            </w:r>
            <w:r>
              <w:t xml:space="preserve">the </w:t>
            </w:r>
            <w:r>
              <w:t xml:space="preserve">standard </w:t>
            </w:r>
            <w:r>
              <w:t xml:space="preserve">of proof </w:t>
            </w:r>
            <w:r>
              <w:t>does not apply.</w:t>
            </w:r>
          </w:p>
          <w:p w:rsidR="008423E4" w:rsidRPr="00E26B13" w:rsidRDefault="00570D90" w:rsidP="00650F7E">
            <w:pPr>
              <w:rPr>
                <w:b/>
              </w:rPr>
            </w:pPr>
          </w:p>
        </w:tc>
      </w:tr>
      <w:tr w:rsidR="00C34DC8" w:rsidTr="00345119">
        <w:tc>
          <w:tcPr>
            <w:tcW w:w="9576" w:type="dxa"/>
          </w:tcPr>
          <w:p w:rsidR="0017725B" w:rsidRDefault="00570D90" w:rsidP="00650F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0D90" w:rsidP="00650F7E">
            <w:pPr>
              <w:rPr>
                <w:b/>
                <w:u w:val="single"/>
              </w:rPr>
            </w:pPr>
          </w:p>
          <w:p w:rsidR="00A32E6F" w:rsidRPr="00A32E6F" w:rsidRDefault="00570D90" w:rsidP="00650F7E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70D90" w:rsidP="00650F7E">
            <w:pPr>
              <w:rPr>
                <w:b/>
                <w:u w:val="single"/>
              </w:rPr>
            </w:pPr>
          </w:p>
        </w:tc>
      </w:tr>
      <w:tr w:rsidR="00C34DC8" w:rsidTr="00345119">
        <w:tc>
          <w:tcPr>
            <w:tcW w:w="9576" w:type="dxa"/>
          </w:tcPr>
          <w:p w:rsidR="008423E4" w:rsidRPr="00A8133F" w:rsidRDefault="00570D90" w:rsidP="00650F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0D90" w:rsidP="00650F7E"/>
          <w:p w:rsidR="00A32E6F" w:rsidRDefault="00570D90" w:rsidP="00650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570D90" w:rsidP="00650F7E">
            <w:pPr>
              <w:rPr>
                <w:b/>
              </w:rPr>
            </w:pPr>
          </w:p>
        </w:tc>
      </w:tr>
      <w:tr w:rsidR="00C34DC8" w:rsidTr="00345119">
        <w:tc>
          <w:tcPr>
            <w:tcW w:w="9576" w:type="dxa"/>
          </w:tcPr>
          <w:p w:rsidR="008423E4" w:rsidRPr="00A8133F" w:rsidRDefault="00570D90" w:rsidP="00650F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0D90" w:rsidP="00650F7E"/>
          <w:p w:rsidR="008423E4" w:rsidRDefault="00570D90" w:rsidP="00650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2362 amends the Civil Practice and Remedies Code to </w:t>
            </w:r>
            <w:r>
              <w:t>make</w:t>
            </w:r>
            <w:r>
              <w:t xml:space="preserve"> statutory </w:t>
            </w:r>
            <w:r>
              <w:t xml:space="preserve">provisions relating to </w:t>
            </w:r>
            <w:r>
              <w:t xml:space="preserve">the </w:t>
            </w:r>
            <w:r>
              <w:t xml:space="preserve">standard of proof </w:t>
            </w:r>
            <w:r>
              <w:t>for</w:t>
            </w:r>
            <w:r>
              <w:t xml:space="preserve"> health care liability claims involving emer</w:t>
            </w:r>
            <w:r>
              <w:t xml:space="preserve">gency medical care </w:t>
            </w:r>
            <w:r>
              <w:t xml:space="preserve">inapplicable to </w:t>
            </w:r>
            <w:r>
              <w:t xml:space="preserve">any medical </w:t>
            </w:r>
            <w:r>
              <w:t>care or treatment</w:t>
            </w:r>
            <w:r>
              <w:t xml:space="preserve"> that is</w:t>
            </w:r>
            <w:r>
              <w:t>:</w:t>
            </w:r>
          </w:p>
          <w:p w:rsidR="00707EA6" w:rsidRDefault="00570D90" w:rsidP="00650F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provided when a patient arrives at a health care institution in stable condition or capable of receiving medical care</w:t>
            </w:r>
            <w:r>
              <w:t xml:space="preserve"> or treatment as a nonemergency patient; </w:t>
            </w:r>
          </w:p>
          <w:p w:rsidR="00707EA6" w:rsidRDefault="00570D90" w:rsidP="00650F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provided after the patient is stabilized or capable of receiving medical care or treatment as a nonemergency patient;</w:t>
            </w:r>
          </w:p>
          <w:p w:rsidR="00707EA6" w:rsidRDefault="00570D90" w:rsidP="00650F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provided in an obstetrical unit if the patient arrives at a hospital for medical care or treatme</w:t>
            </w:r>
            <w:r>
              <w:t>nt for a non-obstetric emergency;</w:t>
            </w:r>
          </w:p>
          <w:p w:rsidR="00707EA6" w:rsidRDefault="00570D90" w:rsidP="00650F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unrelated to the original medical emergency for which the patient initially sought medical care or treatment; or</w:t>
            </w:r>
          </w:p>
          <w:p w:rsidR="00707EA6" w:rsidRDefault="00570D90" w:rsidP="00650F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related to an emergency caused wholly or partly by the negligence of any defendant.  </w:t>
            </w:r>
          </w:p>
          <w:p w:rsidR="008423E4" w:rsidRPr="00835628" w:rsidRDefault="00570D90" w:rsidP="00650F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4DC8" w:rsidTr="00345119">
        <w:tc>
          <w:tcPr>
            <w:tcW w:w="9576" w:type="dxa"/>
          </w:tcPr>
          <w:p w:rsidR="008423E4" w:rsidRPr="00A8133F" w:rsidRDefault="00570D90" w:rsidP="00650F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0D90" w:rsidP="00650F7E"/>
          <w:p w:rsidR="008423E4" w:rsidRPr="003624F2" w:rsidRDefault="00570D90" w:rsidP="00650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570D90" w:rsidP="00650F7E">
            <w:pPr>
              <w:rPr>
                <w:b/>
              </w:rPr>
            </w:pPr>
          </w:p>
        </w:tc>
      </w:tr>
    </w:tbl>
    <w:p w:rsidR="008423E4" w:rsidRPr="00BE0E75" w:rsidRDefault="00570D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0D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D90">
      <w:r>
        <w:separator/>
      </w:r>
    </w:p>
  </w:endnote>
  <w:endnote w:type="continuationSeparator" w:id="0">
    <w:p w:rsidR="00000000" w:rsidRDefault="005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4DC8" w:rsidTr="009C1E9A">
      <w:trPr>
        <w:cantSplit/>
      </w:trPr>
      <w:tc>
        <w:tcPr>
          <w:tcW w:w="0" w:type="pct"/>
        </w:tcPr>
        <w:p w:rsidR="00137D90" w:rsidRDefault="00570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0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0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0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0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DC8" w:rsidTr="009C1E9A">
      <w:trPr>
        <w:cantSplit/>
      </w:trPr>
      <w:tc>
        <w:tcPr>
          <w:tcW w:w="0" w:type="pct"/>
        </w:tcPr>
        <w:p w:rsidR="00EC379B" w:rsidRDefault="00570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0D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22711</w:t>
          </w:r>
        </w:p>
      </w:tc>
      <w:tc>
        <w:tcPr>
          <w:tcW w:w="2453" w:type="pct"/>
        </w:tcPr>
        <w:p w:rsidR="00EC379B" w:rsidRDefault="00570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19.87.1385</w:t>
          </w:r>
          <w:r>
            <w:fldChar w:fldCharType="end"/>
          </w:r>
        </w:p>
      </w:tc>
    </w:tr>
    <w:tr w:rsidR="00C34DC8" w:rsidTr="009C1E9A">
      <w:trPr>
        <w:cantSplit/>
      </w:trPr>
      <w:tc>
        <w:tcPr>
          <w:tcW w:w="0" w:type="pct"/>
        </w:tcPr>
        <w:p w:rsidR="00EC379B" w:rsidRDefault="00570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0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0D90" w:rsidP="006D504F">
          <w:pPr>
            <w:pStyle w:val="Footer"/>
            <w:rPr>
              <w:rStyle w:val="PageNumber"/>
            </w:rPr>
          </w:pPr>
        </w:p>
        <w:p w:rsidR="00EC379B" w:rsidRDefault="00570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D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0D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0D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0D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D90">
      <w:r>
        <w:separator/>
      </w:r>
    </w:p>
  </w:footnote>
  <w:footnote w:type="continuationSeparator" w:id="0">
    <w:p w:rsidR="00000000" w:rsidRDefault="0057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130"/>
    <w:multiLevelType w:val="hybridMultilevel"/>
    <w:tmpl w:val="3DBA90EA"/>
    <w:lvl w:ilvl="0" w:tplc="4320A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A9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00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66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E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E7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A3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A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9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C8"/>
    <w:rsid w:val="00570D90"/>
    <w:rsid w:val="00C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81B10A-3A64-4929-8D60-B5975CB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1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3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1485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HB02362 (Committee Report (Unamended))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22711</dc:subject>
  <dc:creator>State of Texas</dc:creator>
  <dc:description>HB 2362 by Moody-(H)Judiciary &amp; Civil Jurisprudence</dc:description>
  <cp:lastModifiedBy>Stacey Nicchio</cp:lastModifiedBy>
  <cp:revision>2</cp:revision>
  <cp:lastPrinted>2003-11-26T17:21:00Z</cp:lastPrinted>
  <dcterms:created xsi:type="dcterms:W3CDTF">2019-04-26T23:03:00Z</dcterms:created>
  <dcterms:modified xsi:type="dcterms:W3CDTF">2019-04-26T23:03:00Z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19.87.1385</vt:lpwstr>
  </property>
</Properties>
</file>