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46495" w:rsidTr="00345119">
        <w:tc>
          <w:tcPr>
            <w:tcW w:w="9576" w:type="dxa"/>
            <w:noWrap/>
          </w:tcPr>
          <w:p w:rsidR="008423E4" w:rsidRPr="0022177D" w:rsidRDefault="003063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6374" w:rsidP="008423E4">
      <w:pPr>
        <w:jc w:val="center"/>
      </w:pPr>
    </w:p>
    <w:p w:rsidR="008423E4" w:rsidRPr="00B31F0E" w:rsidRDefault="00306374" w:rsidP="008423E4"/>
    <w:p w:rsidR="008423E4" w:rsidRPr="00742794" w:rsidRDefault="003063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46495" w:rsidTr="00345119">
        <w:tc>
          <w:tcPr>
            <w:tcW w:w="9576" w:type="dxa"/>
          </w:tcPr>
          <w:p w:rsidR="008423E4" w:rsidRPr="00861995" w:rsidRDefault="00306374" w:rsidP="00345119">
            <w:pPr>
              <w:jc w:val="right"/>
            </w:pPr>
            <w:r>
              <w:t>C.S.H.B. 2366</w:t>
            </w:r>
          </w:p>
        </w:tc>
      </w:tr>
      <w:tr w:rsidR="00546495" w:rsidTr="00345119">
        <w:tc>
          <w:tcPr>
            <w:tcW w:w="9576" w:type="dxa"/>
          </w:tcPr>
          <w:p w:rsidR="008423E4" w:rsidRPr="00861995" w:rsidRDefault="00306374" w:rsidP="000A5501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546495" w:rsidTr="00345119">
        <w:tc>
          <w:tcPr>
            <w:tcW w:w="9576" w:type="dxa"/>
          </w:tcPr>
          <w:p w:rsidR="008423E4" w:rsidRPr="00861995" w:rsidRDefault="00306374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546495" w:rsidTr="00345119">
        <w:tc>
          <w:tcPr>
            <w:tcW w:w="9576" w:type="dxa"/>
          </w:tcPr>
          <w:p w:rsidR="008423E4" w:rsidRDefault="0030637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06374" w:rsidP="008423E4">
      <w:pPr>
        <w:tabs>
          <w:tab w:val="right" w:pos="9360"/>
        </w:tabs>
      </w:pPr>
    </w:p>
    <w:p w:rsidR="008423E4" w:rsidRDefault="00306374" w:rsidP="008423E4"/>
    <w:p w:rsidR="008423E4" w:rsidRDefault="003063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46495" w:rsidTr="00345119">
        <w:tc>
          <w:tcPr>
            <w:tcW w:w="9576" w:type="dxa"/>
          </w:tcPr>
          <w:p w:rsidR="008423E4" w:rsidRPr="00A8133F" w:rsidRDefault="00306374" w:rsidP="00E83F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6374" w:rsidP="00E83FD0"/>
          <w:p w:rsidR="008423E4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implementation </w:t>
            </w:r>
            <w:r>
              <w:t xml:space="preserve">of </w:t>
            </w:r>
            <w:r>
              <w:t>motor fuel industry</w:t>
            </w:r>
            <w:r>
              <w:t xml:space="preserve"> regulation</w:t>
            </w:r>
            <w:r>
              <w:t xml:space="preserve">, particularly in relation to the handling of consumer complaints. It has been suggested that </w:t>
            </w:r>
            <w:r>
              <w:t xml:space="preserve">complaint </w:t>
            </w:r>
            <w:r>
              <w:t xml:space="preserve">notices </w:t>
            </w:r>
            <w:r>
              <w:t xml:space="preserve">provided </w:t>
            </w:r>
            <w:r>
              <w:t xml:space="preserve">to </w:t>
            </w:r>
            <w:r>
              <w:t xml:space="preserve">gas station owners may not include sufficient information to enable the business to address such a complaint. </w:t>
            </w:r>
            <w:r>
              <w:t>C.S.</w:t>
            </w:r>
            <w:r>
              <w:t>H</w:t>
            </w:r>
            <w:r>
              <w:t xml:space="preserve">.B. </w:t>
            </w:r>
            <w:r>
              <w:t>2366 seeks to</w:t>
            </w:r>
            <w:r>
              <w:t xml:space="preserve"> address </w:t>
            </w:r>
            <w:r>
              <w:t xml:space="preserve">these concerns by </w:t>
            </w:r>
            <w:r>
              <w:t xml:space="preserve">requiring </w:t>
            </w:r>
            <w:r>
              <w:t>those notices</w:t>
            </w:r>
            <w:r>
              <w:t xml:space="preserve"> to </w:t>
            </w:r>
            <w:r>
              <w:t>include a</w:t>
            </w:r>
            <w:r>
              <w:t xml:space="preserve"> </w:t>
            </w:r>
            <w:r>
              <w:t xml:space="preserve">proof of purchase </w:t>
            </w:r>
            <w:r>
              <w:t>and dispenser identification</w:t>
            </w:r>
            <w:r>
              <w:t>, as applicable, and by revising certain inspection and testing requirements and certain penalties</w:t>
            </w:r>
            <w:r>
              <w:t>.</w:t>
            </w:r>
          </w:p>
          <w:p w:rsidR="008423E4" w:rsidRPr="00E26B13" w:rsidRDefault="00306374" w:rsidP="00E83FD0">
            <w:pPr>
              <w:rPr>
                <w:b/>
              </w:rPr>
            </w:pPr>
          </w:p>
        </w:tc>
      </w:tr>
      <w:tr w:rsidR="00546495" w:rsidTr="00345119">
        <w:tc>
          <w:tcPr>
            <w:tcW w:w="9576" w:type="dxa"/>
          </w:tcPr>
          <w:p w:rsidR="0017725B" w:rsidRDefault="00306374" w:rsidP="00E83F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6374" w:rsidP="00E83FD0">
            <w:pPr>
              <w:rPr>
                <w:b/>
                <w:u w:val="single"/>
              </w:rPr>
            </w:pPr>
          </w:p>
          <w:p w:rsidR="00D37E02" w:rsidRPr="00D37E02" w:rsidRDefault="00306374" w:rsidP="00E83FD0">
            <w:pPr>
              <w:jc w:val="both"/>
            </w:pPr>
            <w:r>
              <w:t>It is the committee</w:t>
            </w:r>
            <w:r>
              <w:t>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06374" w:rsidP="00E83FD0">
            <w:pPr>
              <w:rPr>
                <w:b/>
                <w:u w:val="single"/>
              </w:rPr>
            </w:pPr>
          </w:p>
        </w:tc>
      </w:tr>
      <w:tr w:rsidR="00546495" w:rsidTr="00345119">
        <w:tc>
          <w:tcPr>
            <w:tcW w:w="9576" w:type="dxa"/>
          </w:tcPr>
          <w:p w:rsidR="008423E4" w:rsidRPr="00A8133F" w:rsidRDefault="00306374" w:rsidP="00E83F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6374" w:rsidP="00E83FD0"/>
          <w:p w:rsidR="00D37E02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06374" w:rsidP="00E83FD0">
            <w:pPr>
              <w:rPr>
                <w:b/>
              </w:rPr>
            </w:pPr>
          </w:p>
        </w:tc>
      </w:tr>
      <w:tr w:rsidR="00546495" w:rsidTr="00345119">
        <w:tc>
          <w:tcPr>
            <w:tcW w:w="9576" w:type="dxa"/>
          </w:tcPr>
          <w:p w:rsidR="008423E4" w:rsidRPr="00A8133F" w:rsidRDefault="00306374" w:rsidP="00E83F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6374" w:rsidP="00E83FD0"/>
          <w:p w:rsidR="008D49D3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2366 amends the </w:t>
            </w:r>
            <w:r>
              <w:t xml:space="preserve">Agriculture Code to </w:t>
            </w:r>
            <w:r>
              <w:t xml:space="preserve">lower the cap on the administrative penalty for a violation of statutory provisions or of a </w:t>
            </w:r>
            <w:r>
              <w:t>Department of Agriculture (</w:t>
            </w:r>
            <w:r>
              <w:t>TDA</w:t>
            </w:r>
            <w:r>
              <w:t>)</w:t>
            </w:r>
            <w:r>
              <w:t xml:space="preserve"> rule or order relating to the sale and regulation of certain fuel mixtures from $5,000 to $2,500. The bill </w:t>
            </w:r>
            <w:r>
              <w:t>cap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 xml:space="preserve">total </w:t>
            </w:r>
            <w:r>
              <w:t>civil pena</w:t>
            </w:r>
            <w:r>
              <w:t xml:space="preserve">lty </w:t>
            </w:r>
            <w:r>
              <w:t>for a</w:t>
            </w:r>
            <w:r>
              <w:t xml:space="preserve"> </w:t>
            </w:r>
            <w:r>
              <w:t xml:space="preserve">continuous </w:t>
            </w:r>
            <w:r>
              <w:t xml:space="preserve">violation of statutory provisions relating to standard weights and measures or the inspection and registration of </w:t>
            </w:r>
            <w:r>
              <w:t xml:space="preserve">commercial </w:t>
            </w:r>
            <w:r>
              <w:t>weighing or measuring devices</w:t>
            </w:r>
            <w:r>
              <w:t xml:space="preserve"> </w:t>
            </w:r>
            <w:r>
              <w:t>at $2,500 if the violation is related to</w:t>
            </w:r>
            <w:r>
              <w:t xml:space="preserve"> one or more motor fuel metering devices</w:t>
            </w:r>
            <w:r>
              <w:t xml:space="preserve">. </w:t>
            </w:r>
            <w:r>
              <w:t xml:space="preserve">The bill </w:t>
            </w:r>
            <w:r>
              <w:t xml:space="preserve">extends the registration period for a motor fuel metering device </w:t>
            </w:r>
            <w:r>
              <w:t xml:space="preserve">from one year to two years. </w:t>
            </w:r>
          </w:p>
          <w:p w:rsidR="008D49D3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D49D3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2366</w:t>
            </w:r>
            <w:r>
              <w:t xml:space="preserve"> requires a complaint </w:t>
            </w:r>
            <w:r>
              <w:t>to</w:t>
            </w:r>
            <w:r>
              <w:t xml:space="preserve"> </w:t>
            </w:r>
            <w:r>
              <w:t>the TDA</w:t>
            </w:r>
            <w:r>
              <w:t xml:space="preserve"> </w:t>
            </w:r>
            <w:r>
              <w:t xml:space="preserve">regarding </w:t>
            </w:r>
            <w:r>
              <w:t>a</w:t>
            </w:r>
            <w:r>
              <w:t xml:space="preserve"> measurement by a</w:t>
            </w:r>
            <w:r>
              <w:t xml:space="preserve"> </w:t>
            </w:r>
            <w:r>
              <w:t xml:space="preserve">motor fuel metering </w:t>
            </w:r>
            <w:r>
              <w:t>device</w:t>
            </w:r>
            <w:r>
              <w:t xml:space="preserve"> to include a </w:t>
            </w:r>
            <w:r>
              <w:t xml:space="preserve">proof of purchase for </w:t>
            </w:r>
            <w:r>
              <w:t>the transacti</w:t>
            </w:r>
            <w:r>
              <w:t xml:space="preserve">on that led to the complaint. The bill requires </w:t>
            </w:r>
            <w:r>
              <w:t xml:space="preserve">the </w:t>
            </w:r>
            <w:r>
              <w:t xml:space="preserve">TDA </w:t>
            </w:r>
            <w:r>
              <w:t>notice</w:t>
            </w:r>
            <w:r>
              <w:t xml:space="preserve"> informing</w:t>
            </w:r>
            <w:r>
              <w:t xml:space="preserve"> </w:t>
            </w:r>
            <w:r>
              <w:t xml:space="preserve">the person who last registered the device </w:t>
            </w:r>
            <w:r>
              <w:t xml:space="preserve">of such a complaint </w:t>
            </w:r>
            <w:r>
              <w:t xml:space="preserve">to </w:t>
            </w:r>
            <w:r>
              <w:t xml:space="preserve">be provided </w:t>
            </w:r>
            <w:r>
              <w:t xml:space="preserve">by </w:t>
            </w:r>
            <w:r>
              <w:t>email</w:t>
            </w:r>
            <w:r>
              <w:t xml:space="preserve"> not more than 24 hours </w:t>
            </w:r>
            <w:r>
              <w:t>after the complaint is received</w:t>
            </w:r>
            <w:r>
              <w:t xml:space="preserve"> and </w:t>
            </w:r>
            <w:r>
              <w:t xml:space="preserve">to </w:t>
            </w:r>
            <w:r>
              <w:t xml:space="preserve">identify the specific device that </w:t>
            </w:r>
            <w:r>
              <w:t>led to the complaint.</w:t>
            </w:r>
            <w:r>
              <w:t xml:space="preserve"> </w:t>
            </w:r>
          </w:p>
          <w:p w:rsidR="008D49D3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B59AC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2366</w:t>
            </w:r>
            <w:r>
              <w:t xml:space="preserve"> </w:t>
            </w:r>
            <w:r>
              <w:t xml:space="preserve">restricts </w:t>
            </w:r>
            <w:r>
              <w:t xml:space="preserve">the use of </w:t>
            </w:r>
            <w:r>
              <w:t xml:space="preserve">registration and inspection </w:t>
            </w:r>
            <w:r>
              <w:t xml:space="preserve">fees </w:t>
            </w:r>
            <w:r>
              <w:t>for</w:t>
            </w:r>
            <w:r>
              <w:t xml:space="preserve"> </w:t>
            </w:r>
            <w:r>
              <w:t>motor fuel metering devices</w:t>
            </w:r>
            <w:r>
              <w:t xml:space="preserve"> to the administration and enforcement of motor fuel metering device inspections. </w:t>
            </w:r>
          </w:p>
          <w:p w:rsidR="00421CBF" w:rsidRDefault="00306374" w:rsidP="00E83FD0">
            <w:pPr>
              <w:pStyle w:val="Header"/>
              <w:jc w:val="both"/>
            </w:pPr>
          </w:p>
          <w:p w:rsidR="002040A4" w:rsidRDefault="00306374" w:rsidP="00E83FD0">
            <w:pPr>
              <w:pStyle w:val="Header"/>
              <w:jc w:val="both"/>
            </w:pPr>
            <w:r>
              <w:t>C.S.</w:t>
            </w:r>
            <w:r>
              <w:t xml:space="preserve">H.B. 2366 </w:t>
            </w:r>
            <w:r>
              <w:t>excludes from the conduct constitut</w:t>
            </w:r>
            <w:r>
              <w:t>ing</w:t>
            </w:r>
            <w:r>
              <w:t xml:space="preserve"> the offense </w:t>
            </w:r>
            <w:r>
              <w:t>of</w:t>
            </w:r>
            <w:r>
              <w:t xml:space="preserve"> </w:t>
            </w:r>
            <w:r>
              <w:t xml:space="preserve">removing </w:t>
            </w:r>
            <w:r>
              <w:t xml:space="preserve">or </w:t>
            </w:r>
            <w:r>
              <w:t xml:space="preserve">obliterating </w:t>
            </w:r>
            <w:r>
              <w:t xml:space="preserve">a </w:t>
            </w:r>
            <w:r>
              <w:t xml:space="preserve">TDA registration </w:t>
            </w:r>
            <w:r>
              <w:t xml:space="preserve">tag or device on a weighing or measuring device </w:t>
            </w:r>
            <w:r>
              <w:t xml:space="preserve">such conduct regarding </w:t>
            </w:r>
            <w:r>
              <w:t xml:space="preserve">a </w:t>
            </w:r>
            <w:r w:rsidRPr="00991780">
              <w:t>motor fuel metering device</w:t>
            </w:r>
            <w:r>
              <w:t xml:space="preserve"> with a valid registration</w:t>
            </w:r>
            <w:r>
              <w:t>, if the person who removed or obliterated the tag</w:t>
            </w:r>
            <w:r>
              <w:t xml:space="preserve"> own</w:t>
            </w:r>
            <w:r>
              <w:t>s</w:t>
            </w:r>
            <w:r>
              <w:t xml:space="preserve"> or operate</w:t>
            </w:r>
            <w:r>
              <w:t xml:space="preserve">s </w:t>
            </w:r>
            <w:r>
              <w:t xml:space="preserve">the </w:t>
            </w:r>
            <w:r>
              <w:t xml:space="preserve">metering </w:t>
            </w:r>
            <w:r>
              <w:t xml:space="preserve">device and </w:t>
            </w:r>
            <w:r>
              <w:t>did not intentionally remove or obliterate the tag. The bill requires the TDA to replace tag</w:t>
            </w:r>
            <w:r>
              <w:t xml:space="preserve">s </w:t>
            </w:r>
            <w:r>
              <w:t>for such metering devices</w:t>
            </w:r>
            <w:r>
              <w:t xml:space="preserve">. </w:t>
            </w:r>
          </w:p>
          <w:p w:rsidR="002040A4" w:rsidRDefault="00306374" w:rsidP="00E83FD0">
            <w:pPr>
              <w:pStyle w:val="Header"/>
              <w:jc w:val="both"/>
            </w:pPr>
          </w:p>
          <w:p w:rsidR="008423E4" w:rsidRDefault="00306374" w:rsidP="00E83FD0">
            <w:pPr>
              <w:pStyle w:val="Header"/>
              <w:jc w:val="both"/>
            </w:pPr>
            <w:r>
              <w:t>C.S.</w:t>
            </w:r>
            <w:r>
              <w:t xml:space="preserve">H.B. 2366 </w:t>
            </w:r>
            <w:r>
              <w:t xml:space="preserve">requires the TDA, using fees collected </w:t>
            </w:r>
            <w:r w:rsidRPr="00A369BB">
              <w:t>for testing, inspection, or the performance of other ser</w:t>
            </w:r>
            <w:r w:rsidRPr="00A369BB">
              <w:t>vices relating to the sale and regulation of certain fuel mixtures,</w:t>
            </w:r>
            <w:r>
              <w:t xml:space="preserve"> to pa</w:t>
            </w:r>
            <w:r w:rsidRPr="00E813F4">
              <w:t xml:space="preserve">y all costs associated with </w:t>
            </w:r>
            <w:r>
              <w:t>motor fuel quality testing</w:t>
            </w:r>
            <w:r>
              <w:t>. The bill</w:t>
            </w:r>
            <w:r w:rsidRPr="002040A4">
              <w:t xml:space="preserve"> prohibits the TDA </w:t>
            </w:r>
            <w:r>
              <w:t xml:space="preserve">from increasing </w:t>
            </w:r>
            <w:r>
              <w:t xml:space="preserve">such </w:t>
            </w:r>
            <w:r>
              <w:t xml:space="preserve">a fee for </w:t>
            </w:r>
            <w:r>
              <w:t xml:space="preserve">a dealer </w:t>
            </w:r>
            <w:r w:rsidRPr="002040A4">
              <w:t xml:space="preserve">in a state fiscal </w:t>
            </w:r>
            <w:r>
              <w:t xml:space="preserve">biennium </w:t>
            </w:r>
            <w:r>
              <w:t xml:space="preserve">by an amount that exceeds 10 percent of the amount of the fee at the end of the preceding state fiscal biennium. </w:t>
            </w:r>
            <w:r>
              <w:t>The bill</w:t>
            </w:r>
            <w:r>
              <w:t xml:space="preserve"> </w:t>
            </w:r>
            <w:r>
              <w:t>prohibits the TDA from issuing a stop-sale order for</w:t>
            </w:r>
            <w:r w:rsidRPr="008A3A55">
              <w:t xml:space="preserve"> a violation of motor fuel quality standards unless laboratory results confirm tha</w:t>
            </w:r>
            <w:r w:rsidRPr="008A3A55">
              <w:t xml:space="preserve">t </w:t>
            </w:r>
            <w:r>
              <w:t xml:space="preserve">the </w:t>
            </w:r>
            <w:r w:rsidRPr="008A3A55">
              <w:t xml:space="preserve">motor fuel is out of compliance with </w:t>
            </w:r>
            <w:r>
              <w:t>applicable statutory provisions</w:t>
            </w:r>
            <w:r>
              <w:t xml:space="preserve">. </w:t>
            </w:r>
          </w:p>
          <w:p w:rsidR="00F8301D" w:rsidRDefault="00306374" w:rsidP="00E83FD0">
            <w:pPr>
              <w:pStyle w:val="Header"/>
              <w:jc w:val="both"/>
            </w:pPr>
          </w:p>
          <w:p w:rsidR="00DB6FC5" w:rsidRDefault="00306374" w:rsidP="00E83FD0">
            <w:pPr>
              <w:pStyle w:val="Header"/>
              <w:jc w:val="both"/>
            </w:pPr>
            <w:r>
              <w:t>C.S.</w:t>
            </w:r>
            <w:r>
              <w:t xml:space="preserve">H.B. 2366 </w:t>
            </w:r>
            <w:r>
              <w:t>limits</w:t>
            </w:r>
            <w:r>
              <w:t xml:space="preserve"> the authority </w:t>
            </w:r>
            <w:r>
              <w:t xml:space="preserve">of </w:t>
            </w:r>
            <w:r>
              <w:t xml:space="preserve">an authorized representative of the commissioner </w:t>
            </w:r>
            <w:r>
              <w:t xml:space="preserve">of agriculture </w:t>
            </w:r>
            <w:r>
              <w:t>to test motor fuel sold in Texas</w:t>
            </w:r>
            <w:r>
              <w:t xml:space="preserve"> </w:t>
            </w:r>
            <w:r>
              <w:t xml:space="preserve">to such testing </w:t>
            </w:r>
            <w:r>
              <w:t xml:space="preserve">in response to a complaint </w:t>
            </w:r>
            <w:r>
              <w:t xml:space="preserve">about the fuel. The bill includes the distance to </w:t>
            </w:r>
            <w:r>
              <w:t xml:space="preserve">the </w:t>
            </w:r>
            <w:r>
              <w:t xml:space="preserve">nearest </w:t>
            </w:r>
            <w:r>
              <w:t xml:space="preserve">motor </w:t>
            </w:r>
            <w:r>
              <w:t xml:space="preserve">fuel quality </w:t>
            </w:r>
            <w:r>
              <w:t xml:space="preserve">testing </w:t>
            </w:r>
            <w:r>
              <w:t xml:space="preserve">laboratory and the octane of the fuel among the </w:t>
            </w:r>
            <w:r>
              <w:t>required considerations in the commissioner's adoption of</w:t>
            </w:r>
            <w:r>
              <w:t xml:space="preserve"> rules relating to </w:t>
            </w:r>
            <w:r>
              <w:t xml:space="preserve">fuel </w:t>
            </w:r>
            <w:r>
              <w:t xml:space="preserve">testing. </w:t>
            </w:r>
            <w:r>
              <w:t xml:space="preserve">The bill requires the TDA to </w:t>
            </w:r>
            <w:r>
              <w:t xml:space="preserve">contract with </w:t>
            </w:r>
            <w:r>
              <w:t>at least five</w:t>
            </w:r>
            <w:r>
              <w:t xml:space="preserve"> laboratories in Texas to conduct such testing</w:t>
            </w:r>
            <w:r>
              <w:t xml:space="preserve"> and</w:t>
            </w:r>
            <w:r>
              <w:t xml:space="preserve"> prohibits the TDA from testing motor fuel based on </w:t>
            </w:r>
            <w:r>
              <w:t xml:space="preserve">a </w:t>
            </w:r>
            <w:r w:rsidRPr="008B7406">
              <w:t xml:space="preserve">complaint made about fuel </w:t>
            </w:r>
            <w:r>
              <w:t>with an octane rating less than</w:t>
            </w:r>
            <w:r w:rsidRPr="008B7406">
              <w:t xml:space="preserve"> 88 under ASTM standards.</w:t>
            </w:r>
            <w:r>
              <w:t xml:space="preserve"> </w:t>
            </w:r>
          </w:p>
          <w:p w:rsidR="00DB6FC5" w:rsidRDefault="00306374" w:rsidP="00E83FD0">
            <w:pPr>
              <w:pStyle w:val="Header"/>
              <w:jc w:val="both"/>
            </w:pPr>
          </w:p>
          <w:p w:rsidR="008B7406" w:rsidRDefault="00306374" w:rsidP="00E83FD0">
            <w:pPr>
              <w:pStyle w:val="Header"/>
              <w:jc w:val="both"/>
            </w:pPr>
            <w:r>
              <w:t>C.S.</w:t>
            </w:r>
            <w:r>
              <w:t>H.B. 2366</w:t>
            </w:r>
            <w:r>
              <w:t xml:space="preserve"> requires the TDA</w:t>
            </w:r>
            <w:r>
              <w:t xml:space="preserve"> to requir</w:t>
            </w:r>
            <w:r>
              <w:t xml:space="preserve">e a person who submits </w:t>
            </w:r>
            <w:r>
              <w:t xml:space="preserve">a complaint regarding </w:t>
            </w:r>
            <w:r>
              <w:t>the quality of motor fuel purchased from a dealer</w:t>
            </w:r>
            <w:r>
              <w:t xml:space="preserve"> </w:t>
            </w:r>
            <w:r>
              <w:t xml:space="preserve">to provide a </w:t>
            </w:r>
            <w:r>
              <w:t>proof of purchase for</w:t>
            </w:r>
            <w:r>
              <w:t xml:space="preserve"> the transaction that led to the complaint. The bill requires the TDA to notify the dealer by </w:t>
            </w:r>
            <w:r>
              <w:t>email</w:t>
            </w:r>
            <w:r>
              <w:t xml:space="preserve"> within 24 hours of receipt of the complaint and to identify </w:t>
            </w:r>
            <w:r>
              <w:t xml:space="preserve">in the notice </w:t>
            </w:r>
            <w:r>
              <w:t xml:space="preserve">the specific motor fuel </w:t>
            </w:r>
            <w:r>
              <w:t>pump</w:t>
            </w:r>
            <w:r>
              <w:t xml:space="preserve"> that led to the complaint. </w:t>
            </w:r>
          </w:p>
          <w:p w:rsidR="00012AA7" w:rsidRDefault="00306374" w:rsidP="00E83FD0">
            <w:pPr>
              <w:pStyle w:val="Header"/>
              <w:jc w:val="both"/>
            </w:pPr>
          </w:p>
          <w:p w:rsidR="00012AA7" w:rsidRDefault="00306374" w:rsidP="00E83FD0">
            <w:pPr>
              <w:pStyle w:val="Header"/>
              <w:jc w:val="both"/>
            </w:pPr>
            <w:r>
              <w:t>C.S.</w:t>
            </w:r>
            <w:r>
              <w:t xml:space="preserve">H.B. 2366 decreases from $10,000 to $2,500 the maximum civil penalty for a </w:t>
            </w:r>
            <w:r w:rsidRPr="00DA6A31">
              <w:t>dealer, distributor, supplier, wholesaler, o</w:t>
            </w:r>
            <w:r w:rsidRPr="00DA6A31">
              <w:t>r jobber who violates</w:t>
            </w:r>
            <w:r>
              <w:t xml:space="preserve"> </w:t>
            </w:r>
            <w:r>
              <w:t>statutory</w:t>
            </w:r>
            <w:r>
              <w:t xml:space="preserve"> provisions relating to </w:t>
            </w:r>
            <w:r>
              <w:t>certain notice and documentation requirements regarding motor fuel mixtures</w:t>
            </w:r>
            <w:r>
              <w:t xml:space="preserve"> and ratings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D37E02" w:rsidRPr="00B67D2A" w:rsidRDefault="00306374" w:rsidP="00E83FD0">
            <w:pPr>
              <w:pStyle w:val="Header"/>
              <w:jc w:val="both"/>
            </w:pPr>
          </w:p>
        </w:tc>
      </w:tr>
      <w:tr w:rsidR="00546495" w:rsidTr="00345119">
        <w:tc>
          <w:tcPr>
            <w:tcW w:w="9576" w:type="dxa"/>
          </w:tcPr>
          <w:p w:rsidR="008423E4" w:rsidRPr="00A8133F" w:rsidRDefault="00306374" w:rsidP="00E83F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6374" w:rsidP="00E83FD0"/>
          <w:p w:rsidR="00C4008D" w:rsidRPr="003624F2" w:rsidRDefault="00306374" w:rsidP="00E83F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06374" w:rsidP="00E83FD0">
            <w:pPr>
              <w:rPr>
                <w:b/>
              </w:rPr>
            </w:pPr>
          </w:p>
        </w:tc>
      </w:tr>
      <w:tr w:rsidR="00546495" w:rsidTr="00345119">
        <w:tc>
          <w:tcPr>
            <w:tcW w:w="9576" w:type="dxa"/>
          </w:tcPr>
          <w:p w:rsidR="000A5501" w:rsidRDefault="00306374" w:rsidP="00E83F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4008D" w:rsidRDefault="00306374" w:rsidP="00E83FD0">
            <w:pPr>
              <w:jc w:val="both"/>
            </w:pPr>
          </w:p>
          <w:p w:rsidR="000C5D6E" w:rsidRDefault="00306374" w:rsidP="00E83FD0">
            <w:pPr>
              <w:jc w:val="both"/>
            </w:pPr>
            <w:r>
              <w:t xml:space="preserve">While C.S.H.B. 2366 may differ from the original in minor or nonsubstantive ways, the following summarizes the substantial differences between the introduced and committee substitute versions of the bill. </w:t>
            </w:r>
          </w:p>
          <w:p w:rsidR="000C5D6E" w:rsidRDefault="00306374" w:rsidP="00E83FD0">
            <w:pPr>
              <w:jc w:val="both"/>
            </w:pPr>
          </w:p>
          <w:p w:rsidR="006C75E6" w:rsidRDefault="00306374" w:rsidP="00E83FD0">
            <w:pPr>
              <w:jc w:val="both"/>
            </w:pPr>
            <w:r>
              <w:t>The substi</w:t>
            </w:r>
            <w:r>
              <w:t xml:space="preserve">tute </w:t>
            </w:r>
            <w:r>
              <w:t>specifies that the $2,500 cap</w:t>
            </w:r>
            <w:r>
              <w:t xml:space="preserve"> </w:t>
            </w:r>
            <w:r>
              <w:t xml:space="preserve">on the civil penalty </w:t>
            </w:r>
            <w:r>
              <w:t xml:space="preserve">for a continuous violation of </w:t>
            </w:r>
            <w:r w:rsidRPr="002B7F70">
              <w:t>statutory provisions relating to standard weights and measures or the inspection and registration of commercial weighing or measuring devices</w:t>
            </w:r>
            <w:r>
              <w:t xml:space="preserve"> </w:t>
            </w:r>
            <w:r>
              <w:t xml:space="preserve">applies with </w:t>
            </w:r>
            <w:r>
              <w:t>respect</w:t>
            </w:r>
            <w:r>
              <w:t xml:space="preserve"> to</w:t>
            </w:r>
            <w:r>
              <w:t xml:space="preserve"> the </w:t>
            </w:r>
            <w:r>
              <w:t xml:space="preserve">total penalty for such a continuous violation </w:t>
            </w:r>
            <w:r>
              <w:t xml:space="preserve">related to one or more motor fuel metering devices. </w:t>
            </w:r>
          </w:p>
          <w:p w:rsidR="006C75E6" w:rsidRDefault="00306374" w:rsidP="00E83FD0">
            <w:pPr>
              <w:jc w:val="both"/>
            </w:pPr>
          </w:p>
          <w:p w:rsidR="00814358" w:rsidRDefault="00306374" w:rsidP="00E83FD0">
            <w:pPr>
              <w:jc w:val="both"/>
            </w:pPr>
            <w:r>
              <w:t xml:space="preserve">The substitute replaces references to a receipt in requirements regarding documentation of certain complaints with references to a proof of purchase. </w:t>
            </w:r>
          </w:p>
          <w:p w:rsidR="00814358" w:rsidRDefault="00306374" w:rsidP="00E83FD0">
            <w:pPr>
              <w:jc w:val="both"/>
            </w:pPr>
          </w:p>
          <w:p w:rsidR="00B5632C" w:rsidRDefault="00306374" w:rsidP="00E83FD0">
            <w:pPr>
              <w:jc w:val="both"/>
            </w:pPr>
            <w:r>
              <w:t xml:space="preserve">The substitute </w:t>
            </w:r>
            <w:r>
              <w:t xml:space="preserve">specifies that the registration and inspection </w:t>
            </w:r>
            <w:r>
              <w:t>fees whos</w:t>
            </w:r>
            <w:r>
              <w:t>e</w:t>
            </w:r>
            <w:r>
              <w:t xml:space="preserve"> use is </w:t>
            </w:r>
            <w:r>
              <w:t xml:space="preserve">restricted by the bill are such </w:t>
            </w:r>
            <w:r>
              <w:t xml:space="preserve">fees </w:t>
            </w:r>
            <w:r>
              <w:t>attributable to motor fuel metering</w:t>
            </w:r>
            <w:r>
              <w:t xml:space="preserve"> devices.</w:t>
            </w:r>
          </w:p>
          <w:p w:rsidR="005C4747" w:rsidRDefault="00306374" w:rsidP="00E83FD0">
            <w:pPr>
              <w:jc w:val="both"/>
            </w:pPr>
            <w:r>
              <w:t xml:space="preserve"> </w:t>
            </w:r>
          </w:p>
          <w:p w:rsidR="00EE456B" w:rsidRDefault="00306374" w:rsidP="00E83FD0">
            <w:pPr>
              <w:jc w:val="both"/>
            </w:pPr>
            <w:r>
              <w:t xml:space="preserve">The substitute changes </w:t>
            </w:r>
            <w:r>
              <w:t>the</w:t>
            </w:r>
            <w:r>
              <w:t xml:space="preserve"> </w:t>
            </w:r>
            <w:r>
              <w:t xml:space="preserve">10 percent </w:t>
            </w:r>
            <w:r>
              <w:t>limitation on a certain fee increase</w:t>
            </w:r>
            <w:r>
              <w:t xml:space="preserve"> </w:t>
            </w:r>
            <w:r>
              <w:t xml:space="preserve">for a </w:t>
            </w:r>
            <w:r>
              <w:t xml:space="preserve">motor fuel </w:t>
            </w:r>
            <w:r>
              <w:t>metering device to</w:t>
            </w:r>
            <w:r>
              <w:t xml:space="preserve"> such a limitation on such fee increase for a </w:t>
            </w:r>
            <w:r>
              <w:t xml:space="preserve">dealer. </w:t>
            </w:r>
          </w:p>
          <w:p w:rsidR="00EE456B" w:rsidRDefault="00306374" w:rsidP="00E83FD0">
            <w:pPr>
              <w:jc w:val="both"/>
            </w:pPr>
          </w:p>
          <w:p w:rsidR="00C4008D" w:rsidRPr="00C4008D" w:rsidRDefault="00306374" w:rsidP="00E83FD0">
            <w:pPr>
              <w:jc w:val="both"/>
            </w:pPr>
            <w:r>
              <w:t xml:space="preserve">The substitute includes procedural provisions </w:t>
            </w:r>
            <w:r>
              <w:t>providing for</w:t>
            </w:r>
            <w:r>
              <w:t xml:space="preserve"> the continuation in effect of applicable law, as that law existed before amendment by the bill, </w:t>
            </w:r>
            <w:r>
              <w:t>to govern a violation, iss</w:t>
            </w:r>
            <w:r>
              <w:t>uance or renewal of a registration, complaint, or offense, as applicable, that occurred before the bill's effective date.</w:t>
            </w:r>
          </w:p>
        </w:tc>
      </w:tr>
      <w:tr w:rsidR="00546495" w:rsidTr="00345119">
        <w:tc>
          <w:tcPr>
            <w:tcW w:w="9576" w:type="dxa"/>
          </w:tcPr>
          <w:p w:rsidR="000A5501" w:rsidRPr="009C1E9A" w:rsidRDefault="00306374" w:rsidP="00E83FD0">
            <w:pPr>
              <w:rPr>
                <w:b/>
                <w:u w:val="single"/>
              </w:rPr>
            </w:pPr>
          </w:p>
        </w:tc>
      </w:tr>
    </w:tbl>
    <w:p w:rsidR="004108C3" w:rsidRPr="008423E4" w:rsidRDefault="0030637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6374">
      <w:r>
        <w:separator/>
      </w:r>
    </w:p>
  </w:endnote>
  <w:endnote w:type="continuationSeparator" w:id="0">
    <w:p w:rsidR="00000000" w:rsidRDefault="0030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6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46495" w:rsidTr="009C1E9A">
      <w:trPr>
        <w:cantSplit/>
      </w:trPr>
      <w:tc>
        <w:tcPr>
          <w:tcW w:w="0" w:type="pct"/>
        </w:tcPr>
        <w:p w:rsidR="00137D90" w:rsidRDefault="003063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63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63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63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63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6495" w:rsidTr="009C1E9A">
      <w:trPr>
        <w:cantSplit/>
      </w:trPr>
      <w:tc>
        <w:tcPr>
          <w:tcW w:w="0" w:type="pct"/>
        </w:tcPr>
        <w:p w:rsidR="00EC379B" w:rsidRDefault="003063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63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25395</w:t>
          </w:r>
        </w:p>
      </w:tc>
      <w:tc>
        <w:tcPr>
          <w:tcW w:w="2453" w:type="pct"/>
        </w:tcPr>
        <w:p w:rsidR="00EC379B" w:rsidRDefault="003063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19.98.754</w:t>
          </w:r>
          <w:r>
            <w:fldChar w:fldCharType="end"/>
          </w:r>
        </w:p>
      </w:tc>
    </w:tr>
    <w:tr w:rsidR="00546495" w:rsidTr="009C1E9A">
      <w:trPr>
        <w:cantSplit/>
      </w:trPr>
      <w:tc>
        <w:tcPr>
          <w:tcW w:w="0" w:type="pct"/>
        </w:tcPr>
        <w:p w:rsidR="00EC379B" w:rsidRDefault="003063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63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23919</w:t>
          </w:r>
        </w:p>
      </w:tc>
      <w:tc>
        <w:tcPr>
          <w:tcW w:w="2453" w:type="pct"/>
        </w:tcPr>
        <w:p w:rsidR="00EC379B" w:rsidRDefault="00306374" w:rsidP="006D504F">
          <w:pPr>
            <w:pStyle w:val="Footer"/>
            <w:rPr>
              <w:rStyle w:val="PageNumber"/>
            </w:rPr>
          </w:pPr>
        </w:p>
        <w:p w:rsidR="00EC379B" w:rsidRDefault="003063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4649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63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063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63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6374">
      <w:r>
        <w:separator/>
      </w:r>
    </w:p>
  </w:footnote>
  <w:footnote w:type="continuationSeparator" w:id="0">
    <w:p w:rsidR="00000000" w:rsidRDefault="0030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6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0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95"/>
    <w:rsid w:val="00306374"/>
    <w:rsid w:val="005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338FE6-63CB-4E57-BBD1-D9B6CC6C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7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7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70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7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011"/>
    <w:rPr>
      <w:b/>
      <w:bCs/>
    </w:rPr>
  </w:style>
  <w:style w:type="character" w:styleId="Hyperlink">
    <w:name w:val="Hyperlink"/>
    <w:basedOn w:val="DefaultParagraphFont"/>
    <w:unhideWhenUsed/>
    <w:rsid w:val="009176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6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5360</Characters>
  <Application>Microsoft Office Word</Application>
  <DocSecurity>4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HB02366 (Committee Report (Substituted))</vt:lpstr>
    </vt:vector>
  </TitlesOfParts>
  <Company>State of Texas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25395</dc:subject>
  <dc:creator>State of Texas</dc:creator>
  <dc:description>HB 2366 by Darby-(H)International Relations &amp; Economic Development (Substitute Document Number: 86R 23919)</dc:description>
  <cp:lastModifiedBy>Scotty Wimberley</cp:lastModifiedBy>
  <cp:revision>2</cp:revision>
  <cp:lastPrinted>2019-04-08T15:23:00Z</cp:lastPrinted>
  <dcterms:created xsi:type="dcterms:W3CDTF">2019-04-17T18:14:00Z</dcterms:created>
  <dcterms:modified xsi:type="dcterms:W3CDTF">2019-04-17T18:14:00Z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19.98.754</vt:lpwstr>
  </property>
</Properties>
</file>