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62CCC" w:rsidTr="00345119">
        <w:tc>
          <w:tcPr>
            <w:tcW w:w="9576" w:type="dxa"/>
            <w:noWrap/>
          </w:tcPr>
          <w:p w:rsidR="008423E4" w:rsidRPr="0022177D" w:rsidRDefault="0062607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26075" w:rsidP="008423E4">
      <w:pPr>
        <w:jc w:val="center"/>
      </w:pPr>
    </w:p>
    <w:p w:rsidR="008423E4" w:rsidRPr="00B31F0E" w:rsidRDefault="00626075" w:rsidP="008423E4"/>
    <w:p w:rsidR="008423E4" w:rsidRPr="00742794" w:rsidRDefault="0062607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62CCC" w:rsidTr="00345119">
        <w:tc>
          <w:tcPr>
            <w:tcW w:w="9576" w:type="dxa"/>
          </w:tcPr>
          <w:p w:rsidR="008423E4" w:rsidRPr="00861995" w:rsidRDefault="00626075" w:rsidP="00345119">
            <w:pPr>
              <w:jc w:val="right"/>
            </w:pPr>
            <w:r>
              <w:t>C.S.H.B. 2384</w:t>
            </w:r>
          </w:p>
        </w:tc>
      </w:tr>
      <w:tr w:rsidR="00062CCC" w:rsidTr="00345119">
        <w:tc>
          <w:tcPr>
            <w:tcW w:w="9576" w:type="dxa"/>
          </w:tcPr>
          <w:p w:rsidR="008423E4" w:rsidRPr="00861995" w:rsidRDefault="00626075" w:rsidP="00CE5442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062CCC" w:rsidTr="00345119">
        <w:tc>
          <w:tcPr>
            <w:tcW w:w="9576" w:type="dxa"/>
          </w:tcPr>
          <w:p w:rsidR="008423E4" w:rsidRPr="00861995" w:rsidRDefault="00626075" w:rsidP="00345119">
            <w:pPr>
              <w:jc w:val="right"/>
            </w:pPr>
            <w:r>
              <w:t>Judiciary &amp; Civil Jurisprudence</w:t>
            </w:r>
          </w:p>
        </w:tc>
      </w:tr>
      <w:tr w:rsidR="00062CCC" w:rsidTr="00345119">
        <w:tc>
          <w:tcPr>
            <w:tcW w:w="9576" w:type="dxa"/>
          </w:tcPr>
          <w:p w:rsidR="008423E4" w:rsidRDefault="0062607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26075" w:rsidP="008423E4">
      <w:pPr>
        <w:tabs>
          <w:tab w:val="right" w:pos="9360"/>
        </w:tabs>
      </w:pPr>
    </w:p>
    <w:p w:rsidR="008423E4" w:rsidRDefault="00626075" w:rsidP="008423E4"/>
    <w:p w:rsidR="008423E4" w:rsidRDefault="0062607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62CCC" w:rsidTr="00345119">
        <w:tc>
          <w:tcPr>
            <w:tcW w:w="9576" w:type="dxa"/>
          </w:tcPr>
          <w:p w:rsidR="008423E4" w:rsidRPr="00A8133F" w:rsidRDefault="00626075" w:rsidP="00566A7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26075" w:rsidP="00566A7D"/>
          <w:p w:rsidR="008423E4" w:rsidRDefault="00626075" w:rsidP="00566A7D">
            <w:pPr>
              <w:pStyle w:val="Header"/>
              <w:jc w:val="both"/>
            </w:pPr>
            <w:r>
              <w:t>As</w:t>
            </w:r>
            <w:r>
              <w:t xml:space="preserve"> the population </w:t>
            </w:r>
            <w:r>
              <w:t>of Texas</w:t>
            </w:r>
            <w:r>
              <w:t xml:space="preserve"> </w:t>
            </w:r>
            <w:r>
              <w:t>continues</w:t>
            </w:r>
            <w:r>
              <w:t xml:space="preserve"> to grow, </w:t>
            </w:r>
            <w:r>
              <w:t xml:space="preserve">there are calls for the state to </w:t>
            </w:r>
            <w:r>
              <w:t>make every effort to support</w:t>
            </w:r>
            <w:r>
              <w:t xml:space="preserve"> a stable judiciary</w:t>
            </w:r>
            <w:r>
              <w:t xml:space="preserve"> </w:t>
            </w:r>
            <w:r>
              <w:t>to ensure</w:t>
            </w:r>
            <w:r>
              <w:t xml:space="preserve"> that </w:t>
            </w:r>
            <w:r>
              <w:t xml:space="preserve">its </w:t>
            </w:r>
            <w:r>
              <w:t xml:space="preserve">citizens and businesses can manage affairs effectively. </w:t>
            </w:r>
            <w:r>
              <w:t>It has been suggested that</w:t>
            </w:r>
            <w:r>
              <w:t xml:space="preserve"> </w:t>
            </w:r>
            <w:r>
              <w:t>a</w:t>
            </w:r>
            <w:r>
              <w:t xml:space="preserve">dequate judicial compensation </w:t>
            </w:r>
            <w:r>
              <w:t>is key to</w:t>
            </w:r>
            <w:r>
              <w:t xml:space="preserve"> attract</w:t>
            </w:r>
            <w:r>
              <w:t>ing</w:t>
            </w:r>
            <w:r>
              <w:t xml:space="preserve"> qualified candidates and retain</w:t>
            </w:r>
            <w:r>
              <w:t>ing</w:t>
            </w:r>
            <w:r>
              <w:t xml:space="preserve"> experienced judges. </w:t>
            </w:r>
            <w:r>
              <w:t>C.S.</w:t>
            </w:r>
            <w:r>
              <w:t>H.B. 2384 seeks to incr</w:t>
            </w:r>
            <w:r>
              <w:t xml:space="preserve">ease the compensation for members of the judiciary. </w:t>
            </w:r>
          </w:p>
          <w:p w:rsidR="008423E4" w:rsidRPr="00E26B13" w:rsidRDefault="00626075" w:rsidP="00566A7D">
            <w:pPr>
              <w:rPr>
                <w:b/>
              </w:rPr>
            </w:pPr>
          </w:p>
        </w:tc>
      </w:tr>
      <w:tr w:rsidR="00062CCC" w:rsidTr="00345119">
        <w:tc>
          <w:tcPr>
            <w:tcW w:w="9576" w:type="dxa"/>
          </w:tcPr>
          <w:p w:rsidR="0017725B" w:rsidRDefault="00626075" w:rsidP="00566A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26075" w:rsidP="00566A7D">
            <w:pPr>
              <w:rPr>
                <w:b/>
                <w:u w:val="single"/>
              </w:rPr>
            </w:pPr>
          </w:p>
          <w:p w:rsidR="00AA41C0" w:rsidRPr="00AA41C0" w:rsidRDefault="00626075" w:rsidP="00566A7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:rsidR="0017725B" w:rsidRPr="0017725B" w:rsidRDefault="00626075" w:rsidP="00566A7D">
            <w:pPr>
              <w:rPr>
                <w:b/>
                <w:u w:val="single"/>
              </w:rPr>
            </w:pPr>
          </w:p>
        </w:tc>
      </w:tr>
      <w:tr w:rsidR="00062CCC" w:rsidTr="00345119">
        <w:tc>
          <w:tcPr>
            <w:tcW w:w="9576" w:type="dxa"/>
          </w:tcPr>
          <w:p w:rsidR="008423E4" w:rsidRPr="00A8133F" w:rsidRDefault="00626075" w:rsidP="00566A7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26075" w:rsidP="00566A7D"/>
          <w:p w:rsidR="00182670" w:rsidRDefault="00626075" w:rsidP="00566A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626075" w:rsidP="00566A7D">
            <w:pPr>
              <w:rPr>
                <w:b/>
              </w:rPr>
            </w:pPr>
          </w:p>
        </w:tc>
      </w:tr>
      <w:tr w:rsidR="00062CCC" w:rsidTr="00345119">
        <w:tc>
          <w:tcPr>
            <w:tcW w:w="9576" w:type="dxa"/>
          </w:tcPr>
          <w:p w:rsidR="008423E4" w:rsidRPr="00A8133F" w:rsidRDefault="00626075" w:rsidP="00566A7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     </w:t>
            </w:r>
          </w:p>
          <w:p w:rsidR="008423E4" w:rsidRDefault="00626075" w:rsidP="00566A7D"/>
          <w:p w:rsidR="008F6F85" w:rsidRDefault="00626075" w:rsidP="00566A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2384 </w:t>
            </w:r>
            <w:r>
              <w:t xml:space="preserve">revises provisions relating to judicial compensation and participation in </w:t>
            </w:r>
            <w:r w:rsidRPr="00DB083F">
              <w:t>the Judicial Retirement System of Texas Plan One</w:t>
            </w:r>
            <w:r>
              <w:t xml:space="preserve"> (JRS-1)</w:t>
            </w:r>
            <w:r w:rsidRPr="00DB083F">
              <w:t xml:space="preserve"> or the Judicial Retirement System of Texas Plan Two</w:t>
            </w:r>
            <w:r>
              <w:t xml:space="preserve"> (JRS-</w:t>
            </w:r>
            <w:r>
              <w:t xml:space="preserve">2). </w:t>
            </w:r>
            <w:r>
              <w:t>The</w:t>
            </w:r>
            <w:r>
              <w:t xml:space="preserve"> bill</w:t>
            </w:r>
            <w:r>
              <w:t xml:space="preserve"> </w:t>
            </w:r>
            <w:r>
              <w:t xml:space="preserve">amends the Government Code to </w:t>
            </w:r>
            <w:r>
              <w:t xml:space="preserve">establish that </w:t>
            </w:r>
            <w:r>
              <w:t>the</w:t>
            </w:r>
            <w:r>
              <w:t xml:space="preserve"> annual </w:t>
            </w:r>
            <w:r>
              <w:t xml:space="preserve">state </w:t>
            </w:r>
            <w:r>
              <w:t xml:space="preserve">base salary for a district judge as set </w:t>
            </w:r>
            <w:r>
              <w:t xml:space="preserve">by </w:t>
            </w:r>
            <w:r>
              <w:t xml:space="preserve">the General Appropriations Act </w:t>
            </w:r>
            <w:r>
              <w:t>is an amount equal to at least $140,000 and provides for a differential salary from all state and county so</w:t>
            </w:r>
            <w:r>
              <w:t xml:space="preserve">urces. The bill </w:t>
            </w:r>
            <w:r>
              <w:t xml:space="preserve">conforms the salary of a </w:t>
            </w:r>
            <w:r>
              <w:t>justice of the court of appeals, a justice of the supreme court,</w:t>
            </w:r>
            <w:r>
              <w:t xml:space="preserve"> a judge of the court of criminal appeals, </w:t>
            </w:r>
            <w:r>
              <w:t>and the chief justice or presiding judge of an appellate court</w:t>
            </w:r>
            <w:r>
              <w:t xml:space="preserve"> </w:t>
            </w:r>
            <w:r>
              <w:t xml:space="preserve">to that state base salary. The bill sets out </w:t>
            </w:r>
            <w:r>
              <w:t xml:space="preserve">a pay raise schedule for </w:t>
            </w:r>
            <w:r>
              <w:t xml:space="preserve">those judges or </w:t>
            </w:r>
            <w:r>
              <w:t>justices based on</w:t>
            </w:r>
            <w:r w:rsidRPr="00DB083F">
              <w:t xml:space="preserve"> </w:t>
            </w:r>
            <w:r>
              <w:t xml:space="preserve">the </w:t>
            </w:r>
            <w:r w:rsidRPr="00DB083F">
              <w:t>accru</w:t>
            </w:r>
            <w:r>
              <w:t>al</w:t>
            </w:r>
            <w:r w:rsidRPr="00DB083F">
              <w:t xml:space="preserve"> </w:t>
            </w:r>
            <w:r>
              <w:t>of</w:t>
            </w:r>
            <w:r w:rsidRPr="00DB083F">
              <w:t xml:space="preserve"> </w:t>
            </w:r>
            <w:r>
              <w:t>years of the following service credit</w:t>
            </w:r>
            <w:r>
              <w:t xml:space="preserve">: </w:t>
            </w:r>
          </w:p>
          <w:p w:rsidR="002B7C1E" w:rsidRDefault="00626075" w:rsidP="00566A7D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contributing</w:t>
            </w:r>
            <w:r w:rsidRPr="00DB083F">
              <w:t xml:space="preserve"> service</w:t>
            </w:r>
            <w:r>
              <w:t xml:space="preserve"> </w:t>
            </w:r>
            <w:r w:rsidRPr="00DB083F">
              <w:t xml:space="preserve">credit in the </w:t>
            </w:r>
            <w:r>
              <w:t>JRS-1</w:t>
            </w:r>
            <w:r w:rsidRPr="00DB083F">
              <w:t xml:space="preserve"> or</w:t>
            </w:r>
            <w:r>
              <w:t xml:space="preserve"> </w:t>
            </w:r>
            <w:r>
              <w:t>JRS-2</w:t>
            </w:r>
            <w:r>
              <w:t xml:space="preserve"> as a judge, justice, or commissioner of the supreme court, the court of criminal appeals, a </w:t>
            </w:r>
            <w:r>
              <w:t>court of appeal, a district court, or a commission</w:t>
            </w:r>
            <w:r>
              <w:t>er</w:t>
            </w:r>
            <w:r>
              <w:t xml:space="preserve"> to such courts;</w:t>
            </w:r>
          </w:p>
          <w:p w:rsidR="008F6F85" w:rsidRDefault="00626075" w:rsidP="00566A7D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service as</w:t>
            </w:r>
            <w:r>
              <w:t xml:space="preserve"> </w:t>
            </w:r>
            <w:r>
              <w:t>a judge of a statutory county court, multicounty statutory court, or statutory probate court</w:t>
            </w:r>
            <w:r>
              <w:t xml:space="preserve">; </w:t>
            </w:r>
            <w:r>
              <w:t xml:space="preserve">or </w:t>
            </w:r>
          </w:p>
          <w:p w:rsidR="008F6F85" w:rsidRDefault="00626075" w:rsidP="00566A7D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 combination of such</w:t>
            </w:r>
            <w:r>
              <w:t xml:space="preserve"> contributing service credit and service</w:t>
            </w:r>
            <w:r>
              <w:t xml:space="preserve"> of </w:t>
            </w:r>
            <w:r>
              <w:t>such a judge</w:t>
            </w:r>
            <w:r>
              <w:t>.</w:t>
            </w:r>
            <w:r>
              <w:t xml:space="preserve"> </w:t>
            </w:r>
          </w:p>
          <w:p w:rsidR="00D6392C" w:rsidRDefault="00626075" w:rsidP="00566A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>
              <w:t xml:space="preserve">provides an exception to </w:t>
            </w:r>
            <w:r>
              <w:t xml:space="preserve">the limitation </w:t>
            </w:r>
            <w:r w:rsidRPr="00777233">
              <w:t>on the combined base salary from all state and county sources</w:t>
            </w:r>
            <w:r>
              <w:t xml:space="preserve"> for </w:t>
            </w:r>
            <w:r>
              <w:t>those</w:t>
            </w:r>
            <w:r w:rsidRPr="008A66EB">
              <w:t xml:space="preserve"> judge</w:t>
            </w:r>
            <w:r>
              <w:t>s</w:t>
            </w:r>
            <w:r w:rsidRPr="008A66EB">
              <w:t xml:space="preserve"> </w:t>
            </w:r>
            <w:r>
              <w:t>and</w:t>
            </w:r>
            <w:r>
              <w:t xml:space="preserve"> justice</w:t>
            </w:r>
            <w:r>
              <w:t>s</w:t>
            </w:r>
            <w:r>
              <w:t xml:space="preserve"> </w:t>
            </w:r>
            <w:r>
              <w:t xml:space="preserve">based on the compensation levels according to the accrual of years of service credit set under </w:t>
            </w:r>
            <w:r>
              <w:t>the bill</w:t>
            </w:r>
            <w:r>
              <w:t>'</w:t>
            </w:r>
            <w:r>
              <w:t>s</w:t>
            </w:r>
            <w:r>
              <w:t xml:space="preserve"> provisi</w:t>
            </w:r>
            <w:r>
              <w:t>ons</w:t>
            </w:r>
            <w:r w:rsidRPr="00777233">
              <w:t>.</w:t>
            </w:r>
            <w:r>
              <w:t xml:space="preserve"> </w:t>
            </w:r>
          </w:p>
          <w:p w:rsidR="00546505" w:rsidRDefault="00626075" w:rsidP="00566A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916AA" w:rsidRDefault="00626075" w:rsidP="00566A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2384 </w:t>
            </w:r>
            <w:r>
              <w:t>conforms</w:t>
            </w:r>
            <w:r>
              <w:t xml:space="preserve"> the </w:t>
            </w:r>
            <w:r>
              <w:t xml:space="preserve">computation of </w:t>
            </w:r>
            <w:r>
              <w:t xml:space="preserve">annual </w:t>
            </w:r>
            <w:r>
              <w:t>salary, salary supplements, and service retirement benefits</w:t>
            </w:r>
            <w:r>
              <w:t xml:space="preserve"> </w:t>
            </w:r>
            <w:r>
              <w:t>o</w:t>
            </w:r>
            <w:r>
              <w:t>f</w:t>
            </w:r>
            <w:r>
              <w:t xml:space="preserve"> certain judicial actors</w:t>
            </w:r>
            <w:r>
              <w:t xml:space="preserve"> to </w:t>
            </w:r>
            <w:r>
              <w:t xml:space="preserve">the </w:t>
            </w:r>
            <w:r>
              <w:t>state base salary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also </w:t>
            </w:r>
            <w:r>
              <w:t xml:space="preserve">does </w:t>
            </w:r>
            <w:r>
              <w:t>the following:</w:t>
            </w:r>
          </w:p>
          <w:p w:rsidR="00110D93" w:rsidRDefault="00626075" w:rsidP="00566A7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revises the computation of the annual state salary </w:t>
            </w:r>
            <w:r w:rsidRPr="005F5F6E">
              <w:t>paid to</w:t>
            </w:r>
            <w:r>
              <w:t xml:space="preserve"> a statutory county court judge </w:t>
            </w:r>
            <w:r>
              <w:t>or statutory probate county court judge</w:t>
            </w:r>
            <w:r>
              <w:t xml:space="preserve"> </w:t>
            </w:r>
            <w:r>
              <w:t>and</w:t>
            </w:r>
            <w:r w:rsidRPr="005F5F6E">
              <w:t xml:space="preserve"> </w:t>
            </w:r>
            <w:r>
              <w:t xml:space="preserve">provides that, for such computation, years of </w:t>
            </w:r>
            <w:r w:rsidRPr="005F5F6E">
              <w:t xml:space="preserve">service </w:t>
            </w:r>
            <w:r>
              <w:t xml:space="preserve">includes any years of service </w:t>
            </w:r>
            <w:r w:rsidRPr="005F5F6E">
              <w:t>as an appellate court, district court, multicounty statutory county court, or statutory p</w:t>
            </w:r>
            <w:r w:rsidRPr="005F5F6E">
              <w:t>robate court justice or judge</w:t>
            </w:r>
            <w:r>
              <w:t xml:space="preserve"> </w:t>
            </w:r>
            <w:r>
              <w:t>i</w:t>
            </w:r>
            <w:r>
              <w:t>n</w:t>
            </w:r>
            <w:r>
              <w:t xml:space="preserve"> </w:t>
            </w:r>
            <w:r>
              <w:t>the years of service of such a judge;</w:t>
            </w:r>
          </w:p>
          <w:p w:rsidR="00110D93" w:rsidRDefault="00626075" w:rsidP="00566A7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changes the amount the state is required to annually compensate each county that collects additional fees in statutory probate courts</w:t>
            </w:r>
            <w:r>
              <w:t>;</w:t>
            </w:r>
          </w:p>
          <w:p w:rsidR="00A513D6" w:rsidRDefault="00626075" w:rsidP="00566A7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removes the requirement that a county judge</w:t>
            </w:r>
            <w:r>
              <w:t>,</w:t>
            </w:r>
            <w:r>
              <w:t xml:space="preserve"> in order</w:t>
            </w:r>
            <w:r>
              <w:t xml:space="preserve"> </w:t>
            </w:r>
            <w:r>
              <w:t>to receive a</w:t>
            </w:r>
            <w:r>
              <w:t xml:space="preserve"> state salary supplement</w:t>
            </w:r>
            <w:r>
              <w:t>,</w:t>
            </w:r>
            <w:r>
              <w:t xml:space="preserve"> </w:t>
            </w:r>
            <w:r>
              <w:t>must file an affidavit stating th</w:t>
            </w:r>
            <w:r>
              <w:t>at</w:t>
            </w:r>
            <w:r>
              <w:t xml:space="preserve"> at</w:t>
            </w:r>
            <w:r>
              <w:t xml:space="preserve"> least 40 percent of the functions performed by the judge are judicial functio</w:t>
            </w:r>
            <w:r>
              <w:t>ns</w:t>
            </w:r>
            <w:r>
              <w:t xml:space="preserve">; </w:t>
            </w:r>
          </w:p>
          <w:p w:rsidR="00B9084B" w:rsidRDefault="00626075" w:rsidP="00566A7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requires the comptroller of public accounts, for purposes of calculating the compensati</w:t>
            </w:r>
            <w:r>
              <w:t>on of county prosecutors, to use the benchmark salary</w:t>
            </w:r>
            <w:r>
              <w:t xml:space="preserve">, as defined by the bill, </w:t>
            </w:r>
            <w:r>
              <w:t>applicable to the county prosecutor on September 1 of the state fiscal year in which the payment is made;</w:t>
            </w:r>
          </w:p>
          <w:p w:rsidR="00585F7D" w:rsidRDefault="00626075" w:rsidP="00566A7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authorizes the chief justice of the supreme court to assign a former ju</w:t>
            </w:r>
            <w:r>
              <w:t xml:space="preserve">stice or judge </w:t>
            </w:r>
            <w:r w:rsidRPr="00B9084B">
              <w:t>of the supreme court, of the court of criminal appeals, or of a court of appeals to a court of appeals</w:t>
            </w:r>
            <w:r>
              <w:t xml:space="preserve"> for active service and entitles such a former justice or judge to certain compensation;</w:t>
            </w:r>
          </w:p>
          <w:p w:rsidR="001B4FD7" w:rsidRDefault="00626075" w:rsidP="00566A7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</w:t>
            </w:r>
            <w:r>
              <w:t xml:space="preserve">hanges the additional salary for </w:t>
            </w:r>
            <w:r>
              <w:t xml:space="preserve">an active judge </w:t>
            </w:r>
            <w:r>
              <w:t xml:space="preserve">who is </w:t>
            </w:r>
            <w:r>
              <w:t xml:space="preserve">a presiding judge of an administrative judicial region from </w:t>
            </w:r>
            <w:r>
              <w:t xml:space="preserve">a set amount </w:t>
            </w:r>
            <w:r>
              <w:t xml:space="preserve">to </w:t>
            </w:r>
            <w:r>
              <w:t xml:space="preserve"> a </w:t>
            </w:r>
            <w:r>
              <w:t>percent</w:t>
            </w:r>
            <w:r>
              <w:t>age</w:t>
            </w:r>
            <w:r>
              <w:t xml:space="preserve"> of the state base salary</w:t>
            </w:r>
            <w:r>
              <w:t>;</w:t>
            </w:r>
          </w:p>
          <w:p w:rsidR="00887820" w:rsidRDefault="00626075" w:rsidP="00566A7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</w:t>
            </w:r>
            <w:r>
              <w:t xml:space="preserve">hanges the </w:t>
            </w:r>
            <w:r>
              <w:t xml:space="preserve">salary </w:t>
            </w:r>
            <w:r>
              <w:t xml:space="preserve">schedule, which is based on </w:t>
            </w:r>
            <w:r>
              <w:t xml:space="preserve">the </w:t>
            </w:r>
            <w:r>
              <w:t xml:space="preserve">number of courts and judges in a region, </w:t>
            </w:r>
            <w:r>
              <w:t xml:space="preserve">for </w:t>
            </w:r>
            <w:r>
              <w:t>a presiding judge who is a retired or</w:t>
            </w:r>
            <w:r>
              <w:t xml:space="preserve"> former district judge or a retired appellate judge from set amounts to certain percent</w:t>
            </w:r>
            <w:r>
              <w:t xml:space="preserve"> amounts</w:t>
            </w:r>
            <w:r>
              <w:t xml:space="preserve"> of the state base salary</w:t>
            </w:r>
            <w:r>
              <w:t>;</w:t>
            </w:r>
          </w:p>
          <w:p w:rsidR="00194F29" w:rsidRDefault="00626075" w:rsidP="00566A7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r</w:t>
            </w:r>
            <w:r>
              <w:t>evises provisions establishing the state salary for a judge or justice serving in a county outside the official</w:t>
            </w:r>
            <w:r>
              <w:t>'</w:t>
            </w:r>
            <w:r>
              <w:t>s judicial district o</w:t>
            </w:r>
            <w:r>
              <w:t>r county</w:t>
            </w:r>
            <w:r>
              <w:t xml:space="preserve">; </w:t>
            </w:r>
          </w:p>
          <w:p w:rsidR="00633AAF" w:rsidRDefault="00626075" w:rsidP="00566A7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revises provisions establishing the state salary for retired and former judges or justices serving on assignment to provide that the salary is based on the new state base salary</w:t>
            </w:r>
            <w:r>
              <w:t xml:space="preserve">; </w:t>
            </w:r>
          </w:p>
          <w:p w:rsidR="00055D10" w:rsidRDefault="00626075" w:rsidP="00566A7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revises the provision entitling </w:t>
            </w:r>
            <w:r>
              <w:t>a retired judge</w:t>
            </w:r>
            <w:r>
              <w:t xml:space="preserve"> </w:t>
            </w:r>
            <w:r>
              <w:t>appointed to a</w:t>
            </w:r>
            <w:r>
              <w:t xml:space="preserve"> mu</w:t>
            </w:r>
            <w:r>
              <w:t>ltidistrict litigation</w:t>
            </w:r>
            <w:r>
              <w:t xml:space="preserve"> </w:t>
            </w:r>
            <w:r>
              <w:t>(</w:t>
            </w:r>
            <w:r>
              <w:t>MDL</w:t>
            </w:r>
            <w:r>
              <w:t>)</w:t>
            </w:r>
            <w:r>
              <w:t xml:space="preserve"> pretrial court </w:t>
            </w:r>
            <w:r>
              <w:t xml:space="preserve">to certain compensation and benefits by </w:t>
            </w:r>
            <w:r>
              <w:t xml:space="preserve">including </w:t>
            </w:r>
            <w:r>
              <w:t xml:space="preserve">a </w:t>
            </w:r>
            <w:r>
              <w:t xml:space="preserve">retired justice and a </w:t>
            </w:r>
            <w:r>
              <w:t xml:space="preserve">former </w:t>
            </w:r>
            <w:r>
              <w:t>judge</w:t>
            </w:r>
            <w:r>
              <w:t xml:space="preserve"> or justice </w:t>
            </w:r>
            <w:r>
              <w:t xml:space="preserve">assigned to a district court under applicable provisions </w:t>
            </w:r>
            <w:r>
              <w:t>i</w:t>
            </w:r>
            <w:r>
              <w:t>n that entitlement</w:t>
            </w:r>
            <w:r>
              <w:t xml:space="preserve">; </w:t>
            </w:r>
          </w:p>
          <w:p w:rsidR="00902994" w:rsidRDefault="00626075" w:rsidP="00566A7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defines </w:t>
            </w:r>
            <w:r>
              <w:t>"</w:t>
            </w:r>
            <w:r>
              <w:t>contributing service</w:t>
            </w:r>
            <w:r>
              <w:t xml:space="preserve">" </w:t>
            </w:r>
            <w:r>
              <w:t xml:space="preserve">for </w:t>
            </w:r>
            <w:r>
              <w:t>purposes of provision</w:t>
            </w:r>
            <w:r>
              <w:t>s</w:t>
            </w:r>
            <w:r>
              <w:t xml:space="preserve"> relating to service retirement benefits for elected class service; </w:t>
            </w:r>
          </w:p>
          <w:p w:rsidR="00C73ED6" w:rsidRDefault="00626075" w:rsidP="00566A7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sets the standard</w:t>
            </w:r>
            <w:r w:rsidRPr="009F0742">
              <w:t xml:space="preserve"> service retirement annuity for service credited in the e</w:t>
            </w:r>
            <w:r>
              <w:t xml:space="preserve">lected class of membership for a district and criminal district attorney who retires </w:t>
            </w:r>
            <w:r w:rsidRPr="009F0742">
              <w:t xml:space="preserve">on or </w:t>
            </w:r>
            <w:r w:rsidRPr="009F0742">
              <w:t>after September 1, 2019</w:t>
            </w:r>
            <w:r>
              <w:t>;</w:t>
            </w:r>
            <w:r>
              <w:t xml:space="preserve"> and</w:t>
            </w:r>
          </w:p>
          <w:p w:rsidR="00835E1F" w:rsidRDefault="00626075" w:rsidP="00566A7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for purposes of </w:t>
            </w:r>
            <w:r>
              <w:t>the standard service retirement annuity under JRS-2</w:t>
            </w:r>
            <w:r>
              <w:t xml:space="preserve">, </w:t>
            </w:r>
            <w:r>
              <w:t xml:space="preserve">clarifies that </w:t>
            </w:r>
            <w:r>
              <w:t xml:space="preserve">the relevant salary is the salary the member </w:t>
            </w:r>
            <w:r>
              <w:t>received on the member</w:t>
            </w:r>
            <w:r>
              <w:t>'</w:t>
            </w:r>
            <w:r>
              <w:t>s last day of service</w:t>
            </w:r>
            <w:r>
              <w:t xml:space="preserve"> while in elected offic</w:t>
            </w:r>
            <w:r>
              <w:t>e</w:t>
            </w:r>
            <w:r>
              <w:t xml:space="preserve"> and</w:t>
            </w:r>
            <w:r>
              <w:t xml:space="preserve"> </w:t>
            </w:r>
            <w:r>
              <w:t>prohibits the salary earned as a visiting judge from being used to determine the person's service retirement annuity.</w:t>
            </w:r>
          </w:p>
          <w:p w:rsidR="004F571C" w:rsidRDefault="00626075" w:rsidP="00566A7D">
            <w:pPr>
              <w:pStyle w:val="Header"/>
              <w:jc w:val="both"/>
            </w:pPr>
          </w:p>
          <w:p w:rsidR="00922F6A" w:rsidRDefault="00626075" w:rsidP="00566A7D">
            <w:pPr>
              <w:pStyle w:val="Header"/>
              <w:jc w:val="both"/>
            </w:pPr>
            <w:r>
              <w:t>C.S.</w:t>
            </w:r>
            <w:r>
              <w:t>H.B. 2384 requires the medical board</w:t>
            </w:r>
            <w:r>
              <w:t xml:space="preserve"> of </w:t>
            </w:r>
            <w:r>
              <w:t xml:space="preserve">the Employees Retirement System </w:t>
            </w:r>
            <w:r>
              <w:t xml:space="preserve">of Texas </w:t>
            </w:r>
            <w:r>
              <w:t>(</w:t>
            </w:r>
            <w:r>
              <w:t>ERS</w:t>
            </w:r>
            <w:r>
              <w:t>)</w:t>
            </w:r>
            <w:r>
              <w:t xml:space="preserve"> to review all medical examinations required by</w:t>
            </w:r>
            <w:r>
              <w:t xml:space="preserve"> statutory</w:t>
            </w:r>
            <w:r>
              <w:t xml:space="preserve"> </w:t>
            </w:r>
            <w:r>
              <w:t>provision</w:t>
            </w:r>
            <w:r>
              <w:t>s</w:t>
            </w:r>
            <w:r>
              <w:t xml:space="preserve"> relating to </w:t>
            </w:r>
            <w:r>
              <w:t>JRS-1</w:t>
            </w:r>
            <w:r>
              <w:t xml:space="preserve">. </w:t>
            </w:r>
          </w:p>
          <w:p w:rsidR="002129FB" w:rsidRDefault="00626075" w:rsidP="00566A7D">
            <w:pPr>
              <w:pStyle w:val="Header"/>
              <w:jc w:val="both"/>
            </w:pPr>
          </w:p>
          <w:p w:rsidR="002129FB" w:rsidRDefault="00626075" w:rsidP="00566A7D">
            <w:pPr>
              <w:pStyle w:val="Header"/>
              <w:jc w:val="both"/>
            </w:pPr>
            <w:r>
              <w:t>C.S.H.B. 2384 repeals and removes statutory provisions providing for disability retirement benefits under JRS-1 and repeals a provision requiring the chief justice of the supreme court to certify that an applicant</w:t>
            </w:r>
            <w:r>
              <w:t xml:space="preserve"> for the annuity under JRS-1 is entitled to the annuity.</w:t>
            </w:r>
          </w:p>
          <w:p w:rsidR="002129FB" w:rsidRDefault="00626075" w:rsidP="00566A7D">
            <w:pPr>
              <w:pStyle w:val="Header"/>
              <w:jc w:val="both"/>
            </w:pPr>
          </w:p>
          <w:p w:rsidR="002704F5" w:rsidRDefault="00626075" w:rsidP="00566A7D">
            <w:pPr>
              <w:pStyle w:val="Header"/>
              <w:jc w:val="both"/>
            </w:pPr>
            <w:r>
              <w:t>C.S.H.B</w:t>
            </w:r>
            <w:r>
              <w:t>.</w:t>
            </w:r>
            <w:r>
              <w:t xml:space="preserve"> 2384</w:t>
            </w:r>
            <w:r>
              <w:t xml:space="preserve"> authorizes a member of</w:t>
            </w:r>
            <w:r>
              <w:t xml:space="preserve"> </w:t>
            </w:r>
            <w:r>
              <w:t>JRS-2</w:t>
            </w:r>
            <w:r>
              <w:t xml:space="preserve"> to apply for a disability retirement annuity by filing an application for retirement with the</w:t>
            </w:r>
            <w:r>
              <w:t xml:space="preserve"> ERS</w:t>
            </w:r>
            <w:r>
              <w:t xml:space="preserve"> board of trustees or having an application filed with the</w:t>
            </w:r>
            <w:r>
              <w:t xml:space="preserve"> ERS</w:t>
            </w:r>
            <w:r>
              <w:t xml:space="preserve"> board </w:t>
            </w:r>
            <w:r>
              <w:t xml:space="preserve">of trustees </w:t>
            </w:r>
            <w:r>
              <w:t>by the member's spouse, employer, or legal representative</w:t>
            </w:r>
            <w:r>
              <w:t xml:space="preserve"> and revises provisions relating to eligibility</w:t>
            </w:r>
            <w:r>
              <w:t xml:space="preserve"> certification</w:t>
            </w:r>
            <w:r>
              <w:t>.</w:t>
            </w:r>
            <w:r>
              <w:t xml:space="preserve"> The bill sets the deadline by which such application must be filed</w:t>
            </w:r>
            <w:r>
              <w:t>. The bill revises provisions relating to disab</w:t>
            </w:r>
            <w:r>
              <w:t>ility determination and</w:t>
            </w:r>
            <w:r>
              <w:t xml:space="preserve"> </w:t>
            </w:r>
            <w:r>
              <w:t xml:space="preserve">authorizes the ERS medical board, in determining </w:t>
            </w:r>
            <w:r w:rsidRPr="007078D0">
              <w:t>whether a member</w:t>
            </w:r>
            <w:r>
              <w:t xml:space="preserve"> of JRS-2</w:t>
            </w:r>
            <w:r w:rsidRPr="007078D0">
              <w:t xml:space="preserve"> is mentally or physically incapacitated for the further performance of regular judicial duties</w:t>
            </w:r>
            <w:r>
              <w:t xml:space="preserve">, to apply </w:t>
            </w:r>
            <w:r>
              <w:t>certain statutory disability standards</w:t>
            </w:r>
            <w:r>
              <w:t>.</w:t>
            </w:r>
            <w:r>
              <w:t xml:space="preserve"> </w:t>
            </w:r>
          </w:p>
          <w:p w:rsidR="002704F5" w:rsidRDefault="00626075" w:rsidP="00566A7D">
            <w:pPr>
              <w:pStyle w:val="Header"/>
              <w:jc w:val="both"/>
            </w:pPr>
          </w:p>
          <w:p w:rsidR="00AA41C0" w:rsidRDefault="00626075" w:rsidP="00566A7D">
            <w:pPr>
              <w:pStyle w:val="Header"/>
              <w:jc w:val="both"/>
            </w:pPr>
            <w:r>
              <w:t>C.S.</w:t>
            </w:r>
            <w:r>
              <w:t>H.B. 2384 revises the member contribution to JRS-2 by removing the variable percent</w:t>
            </w:r>
            <w:r>
              <w:t>age</w:t>
            </w:r>
            <w:r>
              <w:t xml:space="preserve"> amounts</w:t>
            </w:r>
            <w:r>
              <w:t xml:space="preserve"> based on dates of service and setting the amount at</w:t>
            </w:r>
            <w:r>
              <w:t xml:space="preserve"> 9.5 percent of state compensation for service rendered after September 1, 2019. </w:t>
            </w:r>
            <w:r>
              <w:t>The bill changes the contribu</w:t>
            </w:r>
            <w:r>
              <w:t xml:space="preserve">tion </w:t>
            </w:r>
            <w:r>
              <w:t xml:space="preserve">of </w:t>
            </w:r>
            <w:r>
              <w:t xml:space="preserve">a member who elects to make contributions to </w:t>
            </w:r>
            <w:r>
              <w:t>JRS-1</w:t>
            </w:r>
            <w:r>
              <w:t xml:space="preserve"> after 20 years of service credit from six percent of the member's state compensation for each payroll </w:t>
            </w:r>
            <w:r>
              <w:t>period</w:t>
            </w:r>
            <w:r>
              <w:t xml:space="preserve"> to the member contribution </w:t>
            </w:r>
            <w:r>
              <w:t xml:space="preserve">amount </w:t>
            </w:r>
            <w:r>
              <w:t>under JRS-2</w:t>
            </w:r>
            <w:r>
              <w:t xml:space="preserve">. </w:t>
            </w:r>
          </w:p>
          <w:p w:rsidR="00A77A50" w:rsidRDefault="00626075" w:rsidP="00566A7D">
            <w:pPr>
              <w:pStyle w:val="Header"/>
              <w:jc w:val="both"/>
            </w:pPr>
          </w:p>
          <w:p w:rsidR="00BC6DF6" w:rsidRDefault="00626075" w:rsidP="00566A7D">
            <w:pPr>
              <w:pStyle w:val="Header"/>
              <w:jc w:val="both"/>
            </w:pPr>
            <w:r>
              <w:t>C.S.H.B. 2384 amends the Family Code to</w:t>
            </w:r>
            <w:r>
              <w:t xml:space="preserve"> set the salary for an associate judge for Title IV-D cases and an associate judge for child protection cases at 90 percent of </w:t>
            </w:r>
            <w:r>
              <w:t xml:space="preserve">the </w:t>
            </w:r>
            <w:r>
              <w:t xml:space="preserve">state base </w:t>
            </w:r>
            <w:r>
              <w:t xml:space="preserve">salary </w:t>
            </w:r>
            <w:r>
              <w:t>and removes the requirement for</w:t>
            </w:r>
            <w:r>
              <w:t xml:space="preserve"> a majority vote of the presiding judges of the administrative judicial regi</w:t>
            </w:r>
            <w:r>
              <w:t>on</w:t>
            </w:r>
            <w:r>
              <w:t xml:space="preserve"> to set the salary</w:t>
            </w:r>
            <w:r>
              <w:t xml:space="preserve">. </w:t>
            </w:r>
          </w:p>
          <w:p w:rsidR="002129FB" w:rsidRDefault="00626075" w:rsidP="00566A7D">
            <w:pPr>
              <w:pStyle w:val="Header"/>
              <w:jc w:val="both"/>
            </w:pPr>
          </w:p>
          <w:p w:rsidR="002129FB" w:rsidRDefault="00626075" w:rsidP="00566A7D">
            <w:pPr>
              <w:pStyle w:val="Header"/>
              <w:jc w:val="both"/>
            </w:pPr>
            <w:r>
              <w:t xml:space="preserve">C.S.H.B. 2384 amends the Insurance Code to make a conforming change. </w:t>
            </w:r>
          </w:p>
          <w:p w:rsidR="00BC6DF6" w:rsidRDefault="00626075" w:rsidP="00566A7D">
            <w:pPr>
              <w:pStyle w:val="Header"/>
              <w:jc w:val="both"/>
            </w:pPr>
          </w:p>
          <w:p w:rsidR="008B5089" w:rsidRDefault="00626075" w:rsidP="00566A7D">
            <w:pPr>
              <w:pStyle w:val="Header"/>
              <w:jc w:val="both"/>
            </w:pPr>
            <w:r>
              <w:t>C.S.</w:t>
            </w:r>
            <w:r>
              <w:t xml:space="preserve">H.B. 2384 repeals </w:t>
            </w:r>
            <w:r>
              <w:t xml:space="preserve">the following </w:t>
            </w:r>
            <w:r>
              <w:t>Government Code</w:t>
            </w:r>
            <w:r>
              <w:t xml:space="preserve"> provisions:</w:t>
            </w:r>
          </w:p>
          <w:p w:rsidR="008B5089" w:rsidRDefault="00626075" w:rsidP="00566A7D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Section 834.003</w:t>
            </w:r>
          </w:p>
          <w:p w:rsidR="008B5089" w:rsidRDefault="00626075" w:rsidP="00566A7D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 w:rsidRPr="008B5089">
              <w:t>Subchapter C, Chapter 834</w:t>
            </w:r>
          </w:p>
          <w:p w:rsidR="00AA41C0" w:rsidRDefault="00626075" w:rsidP="00566A7D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Section 840.202(c)      </w:t>
            </w:r>
          </w:p>
          <w:p w:rsidR="008423E4" w:rsidRPr="00835628" w:rsidRDefault="00626075" w:rsidP="00566A7D">
            <w:pPr>
              <w:rPr>
                <w:b/>
              </w:rPr>
            </w:pPr>
          </w:p>
        </w:tc>
      </w:tr>
      <w:tr w:rsidR="00062CCC" w:rsidTr="00345119">
        <w:tc>
          <w:tcPr>
            <w:tcW w:w="9576" w:type="dxa"/>
          </w:tcPr>
          <w:p w:rsidR="008423E4" w:rsidRPr="00A8133F" w:rsidRDefault="00626075" w:rsidP="00566A7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26075" w:rsidP="00566A7D"/>
          <w:p w:rsidR="008423E4" w:rsidRPr="003624F2" w:rsidRDefault="00626075" w:rsidP="00566A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</w:t>
            </w:r>
            <w:r>
              <w:t>1, 2019.</w:t>
            </w:r>
          </w:p>
          <w:p w:rsidR="008423E4" w:rsidRPr="00233FDB" w:rsidRDefault="00626075" w:rsidP="00566A7D">
            <w:pPr>
              <w:rPr>
                <w:b/>
              </w:rPr>
            </w:pPr>
          </w:p>
        </w:tc>
      </w:tr>
      <w:tr w:rsidR="00062CCC" w:rsidTr="00345119">
        <w:tc>
          <w:tcPr>
            <w:tcW w:w="9576" w:type="dxa"/>
          </w:tcPr>
          <w:p w:rsidR="00CE5442" w:rsidRDefault="00626075" w:rsidP="00CE544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F0BBE" w:rsidRDefault="00626075" w:rsidP="00CE5442">
            <w:pPr>
              <w:jc w:val="both"/>
              <w:rPr>
                <w:b/>
                <w:u w:val="single"/>
              </w:rPr>
            </w:pPr>
          </w:p>
          <w:p w:rsidR="00055B50" w:rsidRDefault="00626075" w:rsidP="00055B50">
            <w:pPr>
              <w:jc w:val="both"/>
            </w:pPr>
            <w:r>
              <w:t>While C.S.H.B. 2384 may differ from the original in minor or nonsubstantive ways, the following summarizes the substantial differences between the introduced and committee substitute versions of the bill.</w:t>
            </w:r>
          </w:p>
          <w:p w:rsidR="00055B50" w:rsidRDefault="00626075" w:rsidP="00055B50">
            <w:pPr>
              <w:jc w:val="both"/>
            </w:pPr>
          </w:p>
          <w:p w:rsidR="00055B50" w:rsidRDefault="00626075" w:rsidP="00055B50">
            <w:pPr>
              <w:spacing w:after="200"/>
              <w:jc w:val="both"/>
              <w:rPr>
                <w:rFonts w:eastAsia="Calibri"/>
              </w:rPr>
            </w:pPr>
            <w:r w:rsidRPr="00657DFD">
              <w:rPr>
                <w:rFonts w:eastAsia="Calibri"/>
              </w:rPr>
              <w:t xml:space="preserve">The substitute </w:t>
            </w:r>
            <w:r>
              <w:rPr>
                <w:rFonts w:eastAsia="Calibri"/>
              </w:rPr>
              <w:t>changes</w:t>
            </w:r>
            <w:r w:rsidRPr="00657DFD">
              <w:rPr>
                <w:rFonts w:eastAsia="Calibri"/>
              </w:rPr>
              <w:t xml:space="preserve"> the pay raise schedule for a district judge, a justice of the court of appeals, a justice of the supreme court, a judge of the court of criminal appeals, and the chief justice or presiding judge of an appellate </w:t>
            </w:r>
            <w:r>
              <w:rPr>
                <w:rFonts w:eastAsia="Calibri"/>
              </w:rPr>
              <w:t xml:space="preserve">court </w:t>
            </w:r>
            <w:r w:rsidRPr="00657DFD">
              <w:rPr>
                <w:rFonts w:eastAsia="Calibri"/>
              </w:rPr>
              <w:t>to account for s</w:t>
            </w:r>
            <w:r w:rsidRPr="00657DFD">
              <w:rPr>
                <w:rFonts w:eastAsia="Calibri"/>
              </w:rPr>
              <w:t xml:space="preserve">ervice </w:t>
            </w:r>
            <w:r>
              <w:rPr>
                <w:rFonts w:eastAsia="Calibri"/>
              </w:rPr>
              <w:t>as</w:t>
            </w:r>
            <w:r w:rsidRPr="00657DFD">
              <w:rPr>
                <w:rFonts w:eastAsia="Calibri"/>
              </w:rPr>
              <w:t xml:space="preserve"> a judge of a statutory county court, multicounty statutory court, or statutory probate court.</w:t>
            </w:r>
          </w:p>
          <w:p w:rsidR="00055B50" w:rsidRPr="00657DFD" w:rsidRDefault="00626075" w:rsidP="00055B50">
            <w:pPr>
              <w:spacing w:before="120" w:after="120"/>
              <w:jc w:val="both"/>
              <w:rPr>
                <w:rFonts w:eastAsia="Calibri"/>
              </w:rPr>
            </w:pPr>
            <w:r w:rsidRPr="00657DFD">
              <w:rPr>
                <w:rFonts w:eastAsia="Calibri"/>
              </w:rPr>
              <w:t xml:space="preserve">The substitute includes </w:t>
            </w:r>
            <w:r>
              <w:rPr>
                <w:rFonts w:eastAsia="Calibri"/>
              </w:rPr>
              <w:t xml:space="preserve">provisions relating to the following: </w:t>
            </w:r>
          </w:p>
          <w:p w:rsidR="00055B50" w:rsidRDefault="00626075" w:rsidP="00055B50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a </w:t>
            </w:r>
            <w:r w:rsidRPr="00A0078B">
              <w:rPr>
                <w:rFonts w:eastAsia="Calibri"/>
              </w:rPr>
              <w:t>standard service retirement annuity for service credited as a district or criminal dist</w:t>
            </w:r>
            <w:r w:rsidRPr="00A0078B">
              <w:rPr>
                <w:rFonts w:eastAsia="Calibri"/>
              </w:rPr>
              <w:t>rict attorney who retires on or after September 1, 2019;</w:t>
            </w:r>
          </w:p>
          <w:p w:rsidR="00055B50" w:rsidRPr="00B97C70" w:rsidRDefault="00626075" w:rsidP="00055B50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a computation of the </w:t>
            </w:r>
            <w:r w:rsidRPr="00657DFD">
              <w:rPr>
                <w:rFonts w:eastAsia="Calibri"/>
              </w:rPr>
              <w:t>salary of a statutory court and statutory probate court judge</w:t>
            </w:r>
            <w:r w:rsidRPr="00B97C70">
              <w:rPr>
                <w:rFonts w:eastAsia="Calibri"/>
              </w:rPr>
              <w:t>;</w:t>
            </w:r>
          </w:p>
          <w:p w:rsidR="00055B50" w:rsidRPr="00B97C70" w:rsidRDefault="00626075" w:rsidP="00055B50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an </w:t>
            </w:r>
            <w:r w:rsidRPr="00B97C70">
              <w:rPr>
                <w:rFonts w:eastAsia="Calibri"/>
              </w:rPr>
              <w:t>amount of the annual state compensation to a county that collects additional fees in statutory probate courts;</w:t>
            </w:r>
          </w:p>
          <w:p w:rsidR="00055B50" w:rsidRDefault="00626075" w:rsidP="00055B50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>
              <w:rPr>
                <w:rFonts w:eastAsia="Calibri"/>
              </w:rPr>
              <w:t xml:space="preserve"> </w:t>
            </w:r>
            <w:r w:rsidRPr="00B97C70">
              <w:rPr>
                <w:rFonts w:eastAsia="Calibri"/>
              </w:rPr>
              <w:t>requirement for the state to compensate the administrative county of a multicounty statutory county court for certain salaries</w:t>
            </w:r>
            <w:r>
              <w:rPr>
                <w:rFonts w:eastAsia="Calibri"/>
              </w:rPr>
              <w:t>;</w:t>
            </w:r>
            <w:r w:rsidRPr="00657DFD">
              <w:rPr>
                <w:rFonts w:eastAsia="Calibri"/>
              </w:rPr>
              <w:t xml:space="preserve"> </w:t>
            </w:r>
          </w:p>
          <w:p w:rsidR="00055B50" w:rsidRPr="00B97C70" w:rsidRDefault="00626075" w:rsidP="00055B50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a </w:t>
            </w:r>
            <w:r w:rsidRPr="00657DFD">
              <w:rPr>
                <w:rFonts w:eastAsia="Calibri"/>
              </w:rPr>
              <w:t>calculati</w:t>
            </w:r>
            <w:r>
              <w:rPr>
                <w:rFonts w:eastAsia="Calibri"/>
              </w:rPr>
              <w:t>on of</w:t>
            </w:r>
            <w:r w:rsidRPr="00657DFD">
              <w:rPr>
                <w:rFonts w:eastAsia="Calibri"/>
              </w:rPr>
              <w:t xml:space="preserve"> the compensation of county prosecutors</w:t>
            </w:r>
            <w:r>
              <w:rPr>
                <w:rFonts w:eastAsia="Calibri"/>
              </w:rPr>
              <w:t xml:space="preserve"> using a certain</w:t>
            </w:r>
            <w:r w:rsidRPr="00657DFD">
              <w:rPr>
                <w:rFonts w:eastAsia="Calibri"/>
              </w:rPr>
              <w:t xml:space="preserve"> benchmark salary</w:t>
            </w:r>
            <w:r>
              <w:rPr>
                <w:rFonts w:eastAsia="Calibri"/>
              </w:rPr>
              <w:t>;</w:t>
            </w:r>
          </w:p>
          <w:p w:rsidR="00055B50" w:rsidRPr="00B97C70" w:rsidRDefault="00626075" w:rsidP="00055B50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an </w:t>
            </w:r>
            <w:r w:rsidRPr="00B97C70">
              <w:rPr>
                <w:rFonts w:eastAsia="Calibri"/>
              </w:rPr>
              <w:t>assignment of certain former just</w:t>
            </w:r>
            <w:r w:rsidRPr="00B97C70">
              <w:rPr>
                <w:rFonts w:eastAsia="Calibri"/>
              </w:rPr>
              <w:t xml:space="preserve">ices or judges to a court of appeals for active service </w:t>
            </w:r>
            <w:r>
              <w:rPr>
                <w:rFonts w:eastAsia="Calibri"/>
              </w:rPr>
              <w:t xml:space="preserve">as provided under the bill's provisions </w:t>
            </w:r>
            <w:r w:rsidRPr="00B97C70">
              <w:rPr>
                <w:rFonts w:eastAsia="Calibri"/>
              </w:rPr>
              <w:t xml:space="preserve">and compensation for such a justice or judge; </w:t>
            </w:r>
          </w:p>
          <w:p w:rsidR="00055B50" w:rsidRDefault="00626075" w:rsidP="00055B50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an </w:t>
            </w:r>
            <w:r w:rsidRPr="00B97C70">
              <w:rPr>
                <w:rFonts w:eastAsia="Calibri"/>
              </w:rPr>
              <w:t>entitlement of a former or retired judge or justice appointed to an MDL pretrial court to certain revised comp</w:t>
            </w:r>
            <w:r w:rsidRPr="00B97C70">
              <w:rPr>
                <w:rFonts w:eastAsia="Calibri"/>
              </w:rPr>
              <w:t>ensation and benefits</w:t>
            </w:r>
            <w:r>
              <w:rPr>
                <w:rFonts w:eastAsia="Calibri"/>
              </w:rPr>
              <w:t>; and</w:t>
            </w:r>
          </w:p>
          <w:p w:rsidR="00055B50" w:rsidRPr="00776296" w:rsidRDefault="00626075" w:rsidP="00055B50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a </w:t>
            </w:r>
            <w:r w:rsidRPr="00657DFD">
              <w:rPr>
                <w:rFonts w:eastAsia="Calibri"/>
              </w:rPr>
              <w:t xml:space="preserve">prohibition </w:t>
            </w:r>
            <w:r>
              <w:rPr>
                <w:rFonts w:eastAsia="Calibri"/>
              </w:rPr>
              <w:t>on</w:t>
            </w:r>
            <w:r w:rsidRPr="00657DFD">
              <w:rPr>
                <w:rFonts w:eastAsia="Calibri"/>
              </w:rPr>
              <w:t xml:space="preserve"> the salary earned by a person as a visiting judge being used to determine the person's service retirement annuity under JRS-2.</w:t>
            </w:r>
          </w:p>
          <w:p w:rsidR="00055B50" w:rsidRDefault="00626075" w:rsidP="00055B50">
            <w:pPr>
              <w:spacing w:after="200"/>
              <w:jc w:val="both"/>
              <w:rPr>
                <w:rFonts w:eastAsia="Calibri"/>
              </w:rPr>
            </w:pPr>
            <w:r w:rsidRPr="00657DFD">
              <w:rPr>
                <w:rFonts w:eastAsia="Calibri"/>
              </w:rPr>
              <w:t>The substitute</w:t>
            </w:r>
            <w:r>
              <w:rPr>
                <w:rFonts w:eastAsia="Calibri"/>
              </w:rPr>
              <w:t xml:space="preserve"> changes the treatment of </w:t>
            </w:r>
            <w:r w:rsidRPr="00657DFD">
              <w:rPr>
                <w:rFonts w:eastAsia="Calibri"/>
              </w:rPr>
              <w:t>disability retirement benefits under JRS-1</w:t>
            </w:r>
            <w:r>
              <w:rPr>
                <w:rFonts w:eastAsia="Calibri"/>
              </w:rPr>
              <w:t xml:space="preserve"> by</w:t>
            </w:r>
            <w:r>
              <w:rPr>
                <w:rFonts w:eastAsia="Calibri"/>
              </w:rPr>
              <w:t xml:space="preserve"> </w:t>
            </w:r>
            <w:r w:rsidRPr="00657DFD">
              <w:rPr>
                <w:rFonts w:eastAsia="Calibri"/>
              </w:rPr>
              <w:t>repeal</w:t>
            </w:r>
            <w:r>
              <w:rPr>
                <w:rFonts w:eastAsia="Calibri"/>
              </w:rPr>
              <w:t>ing and removing</w:t>
            </w:r>
            <w:r w:rsidRPr="00657DFD">
              <w:rPr>
                <w:rFonts w:eastAsia="Calibri"/>
              </w:rPr>
              <w:t xml:space="preserve"> statutory provisions providing for</w:t>
            </w:r>
            <w:r>
              <w:rPr>
                <w:rFonts w:eastAsia="Calibri"/>
              </w:rPr>
              <w:t xml:space="preserve"> such benefits</w:t>
            </w:r>
            <w:r w:rsidRPr="00657DFD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657DFD">
              <w:rPr>
                <w:rFonts w:eastAsia="Calibri"/>
              </w:rPr>
              <w:t>The substitute</w:t>
            </w:r>
            <w:r>
              <w:rPr>
                <w:rFonts w:eastAsia="Calibri"/>
              </w:rPr>
              <w:t xml:space="preserve"> changes provisions relating to disability benefits under JRS-2.</w:t>
            </w:r>
          </w:p>
          <w:p w:rsidR="00055B50" w:rsidRDefault="00626075" w:rsidP="00055B50">
            <w:pPr>
              <w:spacing w:after="200"/>
              <w:jc w:val="both"/>
              <w:rPr>
                <w:rFonts w:eastAsia="Calibri"/>
              </w:rPr>
            </w:pPr>
            <w:r w:rsidRPr="00657DFD">
              <w:rPr>
                <w:rFonts w:eastAsia="Calibri"/>
              </w:rPr>
              <w:t>The substitute</w:t>
            </w:r>
            <w:r>
              <w:rPr>
                <w:rFonts w:eastAsia="Calibri"/>
              </w:rPr>
              <w:t xml:space="preserve"> changes the general provision revising the calculation of judicial salaries based on the</w:t>
            </w:r>
            <w:r>
              <w:rPr>
                <w:rFonts w:eastAsia="Calibri"/>
              </w:rPr>
              <w:t xml:space="preserve"> district judge salary and makes changes conforming to that revision. </w:t>
            </w:r>
          </w:p>
          <w:p w:rsidR="00055B50" w:rsidRPr="00657DFD" w:rsidRDefault="00626075" w:rsidP="00055B50">
            <w:pPr>
              <w:spacing w:after="20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The substitute changes</w:t>
            </w:r>
            <w:r w:rsidRPr="00657DFD">
              <w:rPr>
                <w:rFonts w:eastAsia="Calibri"/>
              </w:rPr>
              <w:t xml:space="preserve"> a provision </w:t>
            </w:r>
            <w:r>
              <w:rPr>
                <w:rFonts w:eastAsia="Calibri"/>
              </w:rPr>
              <w:t>clarifying the relevant salary to be used in calculating</w:t>
            </w:r>
            <w:r w:rsidRPr="00657DFD">
              <w:rPr>
                <w:rFonts w:eastAsia="Calibri"/>
              </w:rPr>
              <w:t xml:space="preserve"> the amount of the standard service retirement annuity under JRS-2.</w:t>
            </w:r>
          </w:p>
          <w:p w:rsidR="00055B50" w:rsidRDefault="00626075" w:rsidP="00055B50">
            <w:pPr>
              <w:jc w:val="both"/>
              <w:rPr>
                <w:rFonts w:eastAsia="Calibri"/>
              </w:rPr>
            </w:pPr>
            <w:r w:rsidRPr="00657DFD">
              <w:rPr>
                <w:rFonts w:eastAsia="Calibri"/>
              </w:rPr>
              <w:t>The substitute does not include provisions relating to the resumption of membership in JRS-2 after retirement.</w:t>
            </w:r>
          </w:p>
          <w:p w:rsidR="00055B50" w:rsidRPr="00CE5442" w:rsidRDefault="00626075" w:rsidP="00055B50">
            <w:pPr>
              <w:jc w:val="both"/>
              <w:rPr>
                <w:b/>
                <w:u w:val="single"/>
              </w:rPr>
            </w:pPr>
          </w:p>
        </w:tc>
      </w:tr>
    </w:tbl>
    <w:p w:rsidR="008423E4" w:rsidRPr="00BE0E75" w:rsidRDefault="0062607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2607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6075">
      <w:r>
        <w:separator/>
      </w:r>
    </w:p>
  </w:endnote>
  <w:endnote w:type="continuationSeparator" w:id="0">
    <w:p w:rsidR="00000000" w:rsidRDefault="0062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07" w:rsidRDefault="00626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62CCC" w:rsidTr="009C1E9A">
      <w:trPr>
        <w:cantSplit/>
      </w:trPr>
      <w:tc>
        <w:tcPr>
          <w:tcW w:w="0" w:type="pct"/>
        </w:tcPr>
        <w:p w:rsidR="00137D90" w:rsidRDefault="006260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260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260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260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260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2CCC" w:rsidTr="009C1E9A">
      <w:trPr>
        <w:cantSplit/>
      </w:trPr>
      <w:tc>
        <w:tcPr>
          <w:tcW w:w="0" w:type="pct"/>
        </w:tcPr>
        <w:p w:rsidR="00EC379B" w:rsidRDefault="006260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2607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26137</w:t>
          </w:r>
        </w:p>
      </w:tc>
      <w:tc>
        <w:tcPr>
          <w:tcW w:w="2453" w:type="pct"/>
        </w:tcPr>
        <w:p w:rsidR="00EC379B" w:rsidRDefault="006260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19.100.718</w:t>
          </w:r>
          <w:r>
            <w:fldChar w:fldCharType="end"/>
          </w:r>
        </w:p>
      </w:tc>
    </w:tr>
    <w:tr w:rsidR="00062CCC" w:rsidTr="009C1E9A">
      <w:trPr>
        <w:cantSplit/>
      </w:trPr>
      <w:tc>
        <w:tcPr>
          <w:tcW w:w="0" w:type="pct"/>
        </w:tcPr>
        <w:p w:rsidR="00EC379B" w:rsidRDefault="006260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260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21852</w:t>
          </w:r>
        </w:p>
      </w:tc>
      <w:tc>
        <w:tcPr>
          <w:tcW w:w="2453" w:type="pct"/>
        </w:tcPr>
        <w:p w:rsidR="00EC379B" w:rsidRDefault="00626075" w:rsidP="006D504F">
          <w:pPr>
            <w:pStyle w:val="Footer"/>
            <w:rPr>
              <w:rStyle w:val="PageNumber"/>
            </w:rPr>
          </w:pPr>
        </w:p>
        <w:p w:rsidR="00EC379B" w:rsidRDefault="006260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2CC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2607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  <w:p w:rsidR="00EC379B" w:rsidRDefault="0062607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2607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07" w:rsidRDefault="00626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6075">
      <w:r>
        <w:separator/>
      </w:r>
    </w:p>
  </w:footnote>
  <w:footnote w:type="continuationSeparator" w:id="0">
    <w:p w:rsidR="00000000" w:rsidRDefault="00626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07" w:rsidRDefault="00626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07" w:rsidRDefault="006260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07" w:rsidRDefault="00626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9025E"/>
    <w:multiLevelType w:val="hybridMultilevel"/>
    <w:tmpl w:val="E432DACC"/>
    <w:lvl w:ilvl="0" w:tplc="66B81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3AAD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68D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493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06D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E43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404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A6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2A29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134C2"/>
    <w:multiLevelType w:val="hybridMultilevel"/>
    <w:tmpl w:val="726E7F06"/>
    <w:lvl w:ilvl="0" w:tplc="8CEA7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885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A8C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47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0C0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06B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EF5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63E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A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23A76"/>
    <w:multiLevelType w:val="hybridMultilevel"/>
    <w:tmpl w:val="0E924A2A"/>
    <w:lvl w:ilvl="0" w:tplc="1C5C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C6BF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3620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470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EBB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2E7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25B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E6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C0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61094"/>
    <w:multiLevelType w:val="hybridMultilevel"/>
    <w:tmpl w:val="4EC8DA88"/>
    <w:lvl w:ilvl="0" w:tplc="FA20475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284896DA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A7B2D6A2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A846EEF2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6B12F352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1E8D530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E40A7DA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E71A50F6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F38759C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6FED34FF"/>
    <w:multiLevelType w:val="hybridMultilevel"/>
    <w:tmpl w:val="ABFEDE4C"/>
    <w:lvl w:ilvl="0" w:tplc="75B03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FA68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54BE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0E9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C48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A24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2D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AA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920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CC"/>
    <w:rsid w:val="00062CCC"/>
    <w:rsid w:val="0062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623F1A-FE1E-48B5-8217-82970AEE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08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08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083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0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08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2BF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70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70E2"/>
    <w:rPr>
      <w:rFonts w:ascii="Courier New" w:hAnsi="Courier New" w:cs="Courier New"/>
    </w:rPr>
  </w:style>
  <w:style w:type="paragraph" w:customStyle="1" w:styleId="center">
    <w:name w:val="center"/>
    <w:basedOn w:val="Normal"/>
    <w:rsid w:val="007370E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9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1606</Words>
  <Characters>8614</Characters>
  <Application>Microsoft Office Word</Application>
  <DocSecurity>4</DocSecurity>
  <Lines>171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HB02384 (Committee Report (Substituted))</vt:lpstr>
    </vt:vector>
  </TitlesOfParts>
  <Company>State of Texas</Company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26137</dc:subject>
  <dc:creator>State of Texas</dc:creator>
  <dc:description>HB 2384 by Leach-(H)Judiciary &amp; Civil Jurisprudence (Substitute Document Number: 86R 21852)</dc:description>
  <cp:lastModifiedBy>Stacey Nicchio</cp:lastModifiedBy>
  <cp:revision>2</cp:revision>
  <cp:lastPrinted>2019-03-15T19:31:00Z</cp:lastPrinted>
  <dcterms:created xsi:type="dcterms:W3CDTF">2019-04-12T23:29:00Z</dcterms:created>
  <dcterms:modified xsi:type="dcterms:W3CDTF">2019-04-12T23:29:00Z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19.100.718</vt:lpwstr>
  </property>
</Properties>
</file>