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3B47" w:rsidTr="00345119">
        <w:tc>
          <w:tcPr>
            <w:tcW w:w="9576" w:type="dxa"/>
            <w:noWrap/>
          </w:tcPr>
          <w:p w:rsidR="008423E4" w:rsidRPr="0022177D" w:rsidRDefault="00C351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5113" w:rsidP="008423E4">
      <w:pPr>
        <w:jc w:val="center"/>
      </w:pPr>
    </w:p>
    <w:p w:rsidR="008423E4" w:rsidRPr="00B31F0E" w:rsidRDefault="00C35113" w:rsidP="008423E4"/>
    <w:p w:rsidR="008423E4" w:rsidRPr="00742794" w:rsidRDefault="00C351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3B47" w:rsidTr="00345119">
        <w:tc>
          <w:tcPr>
            <w:tcW w:w="9576" w:type="dxa"/>
          </w:tcPr>
          <w:p w:rsidR="008423E4" w:rsidRPr="00861995" w:rsidRDefault="00C35113" w:rsidP="00345119">
            <w:pPr>
              <w:jc w:val="right"/>
            </w:pPr>
            <w:r>
              <w:t>C.S.H.B. 2387</w:t>
            </w:r>
          </w:p>
        </w:tc>
      </w:tr>
      <w:tr w:rsidR="00933B47" w:rsidTr="00345119">
        <w:tc>
          <w:tcPr>
            <w:tcW w:w="9576" w:type="dxa"/>
          </w:tcPr>
          <w:p w:rsidR="008423E4" w:rsidRPr="00861995" w:rsidRDefault="00C35113" w:rsidP="00812AA4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933B47" w:rsidTr="00345119">
        <w:tc>
          <w:tcPr>
            <w:tcW w:w="9576" w:type="dxa"/>
          </w:tcPr>
          <w:p w:rsidR="008423E4" w:rsidRPr="00861995" w:rsidRDefault="00C35113" w:rsidP="00345119">
            <w:pPr>
              <w:jc w:val="right"/>
            </w:pPr>
            <w:r>
              <w:t>Insurance</w:t>
            </w:r>
          </w:p>
        </w:tc>
      </w:tr>
      <w:tr w:rsidR="00933B47" w:rsidTr="00345119">
        <w:tc>
          <w:tcPr>
            <w:tcW w:w="9576" w:type="dxa"/>
          </w:tcPr>
          <w:p w:rsidR="008423E4" w:rsidRDefault="00C3511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35113" w:rsidP="008423E4">
      <w:pPr>
        <w:tabs>
          <w:tab w:val="right" w:pos="9360"/>
        </w:tabs>
      </w:pPr>
    </w:p>
    <w:p w:rsidR="008423E4" w:rsidRDefault="00C35113" w:rsidP="008423E4"/>
    <w:p w:rsidR="008423E4" w:rsidRDefault="00C351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3B47" w:rsidTr="00345119">
        <w:tc>
          <w:tcPr>
            <w:tcW w:w="9576" w:type="dxa"/>
          </w:tcPr>
          <w:p w:rsidR="008423E4" w:rsidRPr="00A8133F" w:rsidRDefault="00C35113" w:rsidP="00FA06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5113" w:rsidP="00FA06ED"/>
          <w:p w:rsidR="008423E4" w:rsidRDefault="00C35113" w:rsidP="00FA06ED">
            <w:pPr>
              <w:pStyle w:val="Header"/>
              <w:jc w:val="both"/>
            </w:pPr>
            <w:r>
              <w:t xml:space="preserve">It has been suggested that the </w:t>
            </w:r>
            <w:r>
              <w:t>utilization review process</w:t>
            </w:r>
            <w:r>
              <w:t xml:space="preserve"> for health care benefit plan coverage </w:t>
            </w:r>
            <w:r>
              <w:t xml:space="preserve">is burdensome to physicians and providers and </w:t>
            </w:r>
            <w:r>
              <w:t xml:space="preserve">may </w:t>
            </w:r>
            <w:r>
              <w:t>ha</w:t>
            </w:r>
            <w:r>
              <w:t>ve</w:t>
            </w:r>
            <w:r>
              <w:t xml:space="preserve"> the potential to prevent patients from receiving the care they need.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2387 </w:t>
            </w:r>
            <w:r>
              <w:t xml:space="preserve">seeks to address this issue by </w:t>
            </w:r>
            <w:r>
              <w:t xml:space="preserve">ensuring that physicians who are the most familiar with the delivery of health care in </w:t>
            </w:r>
            <w:r>
              <w:t xml:space="preserve">Texas are involved in </w:t>
            </w:r>
            <w:r w:rsidRPr="00691F92">
              <w:t>utilization review</w:t>
            </w:r>
            <w:r>
              <w:t>s</w:t>
            </w:r>
            <w:r w:rsidRPr="00691F92">
              <w:t xml:space="preserve"> for health benefit plan coverage</w:t>
            </w:r>
            <w:r>
              <w:t xml:space="preserve">. </w:t>
            </w:r>
          </w:p>
          <w:p w:rsidR="008423E4" w:rsidRPr="00E26B13" w:rsidRDefault="00C35113" w:rsidP="00FA06ED">
            <w:pPr>
              <w:rPr>
                <w:b/>
              </w:rPr>
            </w:pPr>
          </w:p>
        </w:tc>
      </w:tr>
      <w:tr w:rsidR="00933B47" w:rsidTr="00345119">
        <w:tc>
          <w:tcPr>
            <w:tcW w:w="9576" w:type="dxa"/>
          </w:tcPr>
          <w:p w:rsidR="0017725B" w:rsidRDefault="00C35113" w:rsidP="00FA06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5113" w:rsidP="00FA06ED">
            <w:pPr>
              <w:rPr>
                <w:b/>
                <w:u w:val="single"/>
              </w:rPr>
            </w:pPr>
          </w:p>
          <w:p w:rsidR="00FB5545" w:rsidRPr="00FB5545" w:rsidRDefault="00C35113" w:rsidP="00FA06ED">
            <w:pPr>
              <w:jc w:val="both"/>
            </w:pPr>
            <w:r>
              <w:t>It is the committee's opinion that this bill does not expressly create a criminal offense, increase the punishment for an existing criminal offense or c</w:t>
            </w:r>
            <w:r>
              <w:t>ategory of offenses, or change the eligibility of a person for community supervision, parole, or mandatory supervision.</w:t>
            </w:r>
          </w:p>
          <w:p w:rsidR="0017725B" w:rsidRPr="0017725B" w:rsidRDefault="00C35113" w:rsidP="00FA06ED">
            <w:pPr>
              <w:rPr>
                <w:b/>
                <w:u w:val="single"/>
              </w:rPr>
            </w:pPr>
          </w:p>
        </w:tc>
      </w:tr>
      <w:tr w:rsidR="00933B47" w:rsidTr="00345119">
        <w:tc>
          <w:tcPr>
            <w:tcW w:w="9576" w:type="dxa"/>
          </w:tcPr>
          <w:p w:rsidR="008423E4" w:rsidRPr="00A8133F" w:rsidRDefault="00C35113" w:rsidP="00FA06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5113" w:rsidP="00FA06ED"/>
          <w:p w:rsidR="00FB5545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C35113" w:rsidP="00FA06ED">
            <w:pPr>
              <w:rPr>
                <w:b/>
              </w:rPr>
            </w:pPr>
          </w:p>
        </w:tc>
      </w:tr>
      <w:tr w:rsidR="00933B47" w:rsidTr="00345119">
        <w:tc>
          <w:tcPr>
            <w:tcW w:w="9576" w:type="dxa"/>
          </w:tcPr>
          <w:p w:rsidR="008423E4" w:rsidRPr="00A8133F" w:rsidRDefault="00C35113" w:rsidP="00FA06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5113" w:rsidP="00FA06ED"/>
          <w:p w:rsidR="00F844BB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2387 amends the Insurance Code to </w:t>
            </w:r>
            <w:r>
              <w:t>require</w:t>
            </w:r>
            <w:r>
              <w:t xml:space="preserve"> </w:t>
            </w:r>
            <w:r>
              <w:t xml:space="preserve">a utilization review agent </w:t>
            </w:r>
            <w:r>
              <w:t xml:space="preserve">that </w:t>
            </w:r>
            <w:r>
              <w:t>us</w:t>
            </w:r>
            <w:r>
              <w:t>es</w:t>
            </w:r>
            <w:r>
              <w:t xml:space="preserve"> a physician to conduct utilization review</w:t>
            </w:r>
            <w:r>
              <w:t xml:space="preserve"> </w:t>
            </w:r>
            <w:r>
              <w:t xml:space="preserve">for health benefit plan coverage </w:t>
            </w:r>
            <w:r>
              <w:t>to use a physician licensed t</w:t>
            </w:r>
            <w:r>
              <w:t>o practice medicine in Texas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 xml:space="preserve">subject a payor that conducts a utilization review on the payor's own behalf to </w:t>
            </w:r>
            <w:r w:rsidRPr="003F7EF2">
              <w:t>this requirement</w:t>
            </w:r>
            <w:r>
              <w:t xml:space="preserve"> as if the payor were a utilization agent</w:t>
            </w:r>
            <w:r>
              <w:t>.</w:t>
            </w:r>
            <w:r w:rsidRPr="003468F3">
              <w:t xml:space="preserve"> </w:t>
            </w:r>
            <w:r>
              <w:t xml:space="preserve">The bill expressly requires certain physicians involved in </w:t>
            </w:r>
            <w:r>
              <w:t xml:space="preserve">the process of </w:t>
            </w:r>
            <w:r>
              <w:t>utiliza</w:t>
            </w:r>
            <w:r>
              <w:t xml:space="preserve">tion review </w:t>
            </w:r>
            <w:r>
              <w:t xml:space="preserve">by a utilization review agent </w:t>
            </w:r>
            <w:r>
              <w:t>to be licensed to practice medicine in Texas</w:t>
            </w:r>
            <w:r>
              <w:t xml:space="preserve"> and specifies that such review must be conducted under the supervision of a physician</w:t>
            </w:r>
            <w:r>
              <w:t xml:space="preserve">. The bill requires certain other health care providers involved in </w:t>
            </w:r>
            <w:r>
              <w:t xml:space="preserve">that process </w:t>
            </w:r>
            <w:r>
              <w:t xml:space="preserve">to </w:t>
            </w:r>
            <w:r>
              <w:t>be licensed or otherwise authorized by the appropriate licensing agency in Texas</w:t>
            </w:r>
            <w:r>
              <w:t xml:space="preserve">. </w:t>
            </w:r>
            <w:r w:rsidRPr="003468F3">
              <w:t xml:space="preserve">The bill expands the definition of "provider of record" for purposes of statutory provisions </w:t>
            </w:r>
            <w:r>
              <w:t>governing</w:t>
            </w:r>
            <w:r w:rsidRPr="003468F3">
              <w:t xml:space="preserve"> utilization review agents to include a health care provider with primar</w:t>
            </w:r>
            <w:r w:rsidRPr="003468F3">
              <w:t xml:space="preserve">y responsibility for health care services requested on behalf of an enrollee </w:t>
            </w:r>
            <w:r>
              <w:t>and</w:t>
            </w:r>
            <w:r w:rsidRPr="003468F3">
              <w:t xml:space="preserve"> </w:t>
            </w:r>
            <w:r>
              <w:t xml:space="preserve">a </w:t>
            </w:r>
            <w:r w:rsidRPr="003468F3">
              <w:t>health care provider that has provided or has been requested to provide such services.</w:t>
            </w:r>
          </w:p>
          <w:p w:rsidR="00F844BB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F364A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2387</w:t>
            </w:r>
            <w:r>
              <w:t xml:space="preserve"> </w:t>
            </w:r>
            <w:r>
              <w:t xml:space="preserve">clarifies that </w:t>
            </w:r>
            <w:r>
              <w:t xml:space="preserve">a determination of </w:t>
            </w:r>
            <w:r>
              <w:t xml:space="preserve">medical necessity </w:t>
            </w:r>
            <w:r>
              <w:t xml:space="preserve">must be </w:t>
            </w:r>
            <w:r>
              <w:t xml:space="preserve">obtained </w:t>
            </w:r>
            <w:r>
              <w:t xml:space="preserve">for a proposed denial of requested treatment </w:t>
            </w:r>
            <w:r>
              <w:t xml:space="preserve">before issuance of an adverse determination. The bill </w:t>
            </w:r>
            <w:r>
              <w:t>requires</w:t>
            </w:r>
            <w:r>
              <w:t xml:space="preserve"> </w:t>
            </w:r>
            <w:r>
              <w:t xml:space="preserve">a </w:t>
            </w:r>
            <w:r>
              <w:t xml:space="preserve">health care </w:t>
            </w:r>
            <w:r>
              <w:t>provider to whom a</w:t>
            </w:r>
            <w:r>
              <w:t xml:space="preserve"> utilization review agent refers a</w:t>
            </w:r>
            <w:r>
              <w:t xml:space="preserve"> proposed denial of treatment requested, ordered, provided</w:t>
            </w:r>
            <w:r>
              <w:t>, or to be provided</w:t>
            </w:r>
            <w:r>
              <w:t xml:space="preserve"> by a</w:t>
            </w:r>
            <w:r>
              <w:t xml:space="preserve"> physician </w:t>
            </w:r>
            <w:r>
              <w:t>for such a determination</w:t>
            </w:r>
            <w:r>
              <w:t xml:space="preserve"> to be</w:t>
            </w:r>
            <w:r>
              <w:t xml:space="preserve"> </w:t>
            </w:r>
            <w:r w:rsidRPr="007A179A">
              <w:t xml:space="preserve">a physician licensed to practice medicine in </w:t>
            </w:r>
            <w:r>
              <w:t>Texas</w:t>
            </w:r>
            <w:r w:rsidRPr="007A179A">
              <w:t xml:space="preserve"> who is of the same or </w:t>
            </w:r>
            <w:r>
              <w:t xml:space="preserve">a </w:t>
            </w:r>
            <w:r w:rsidRPr="007A179A">
              <w:t>similar specialty as th</w:t>
            </w:r>
            <w:r>
              <w:t>e</w:t>
            </w:r>
            <w:r w:rsidRPr="007A179A">
              <w:t xml:space="preserve"> physician</w:t>
            </w:r>
            <w:r>
              <w:t xml:space="preserve"> that requested, ordered, or provided the treatment. </w:t>
            </w:r>
          </w:p>
          <w:p w:rsidR="000F364A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21FA5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0F364A">
              <w:t xml:space="preserve">H.B. 2387 </w:t>
            </w:r>
            <w:r>
              <w:t xml:space="preserve">prohibits the prohibition against a </w:t>
            </w:r>
            <w:r w:rsidRPr="00661A7E">
              <w:t xml:space="preserve">utilization review agent </w:t>
            </w:r>
            <w:r>
              <w:t>establish</w:t>
            </w:r>
            <w:r>
              <w:t>ing or imposing</w:t>
            </w:r>
            <w:r>
              <w:t xml:space="preserve"> </w:t>
            </w:r>
            <w:r>
              <w:t xml:space="preserve">a </w:t>
            </w:r>
            <w:r>
              <w:t xml:space="preserve">notice requirement and </w:t>
            </w:r>
            <w:r>
              <w:t xml:space="preserve">or other </w:t>
            </w:r>
            <w:r>
              <w:t>review procedure</w:t>
            </w:r>
            <w:r>
              <w:t xml:space="preserve"> that is contrary to the </w:t>
            </w:r>
            <w:r>
              <w:t>requirements</w:t>
            </w:r>
            <w:r>
              <w:t xml:space="preserve"> of a health insurance policy or health benefit plan from being</w:t>
            </w:r>
            <w:r>
              <w:t xml:space="preserve"> construed </w:t>
            </w:r>
            <w:r w:rsidRPr="00746D1B">
              <w:t>to release a policy or plan from full complia</w:t>
            </w:r>
            <w:r w:rsidRPr="00746D1B">
              <w:t xml:space="preserve">nce with </w:t>
            </w:r>
            <w:r w:rsidRPr="006D5BB0">
              <w:t>applicable law.</w:t>
            </w:r>
            <w:r w:rsidRPr="006D5BB0">
              <w:t xml:space="preserve"> The bill clarifies that the authorized delegation of utilization review does not release a</w:t>
            </w:r>
            <w:r>
              <w:t xml:space="preserve"> utilization review </w:t>
            </w:r>
            <w:r>
              <w:t>agent from the full responsibility for compliance with any applicable law.</w:t>
            </w:r>
            <w:r>
              <w:t xml:space="preserve"> </w:t>
            </w:r>
            <w:r>
              <w:t xml:space="preserve"> </w:t>
            </w:r>
          </w:p>
          <w:p w:rsidR="00D21FA5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828F0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12184">
              <w:t>C.S.</w:t>
            </w:r>
            <w:r w:rsidRPr="00812184">
              <w:t xml:space="preserve">H.B. 2387 </w:t>
            </w:r>
            <w:r w:rsidRPr="00812184">
              <w:t xml:space="preserve">requires </w:t>
            </w:r>
            <w:r w:rsidRPr="00812184">
              <w:t>a</w:t>
            </w:r>
            <w:r w:rsidRPr="00812184">
              <w:t xml:space="preserve"> physician </w:t>
            </w:r>
            <w:r w:rsidRPr="00812184">
              <w:t xml:space="preserve">with whom a utilization review agent gives a health care provider an opportunity to discuss treatment before issuing an adverse determination </w:t>
            </w:r>
            <w:r w:rsidRPr="00812184">
              <w:t>related to a</w:t>
            </w:r>
            <w:r w:rsidRPr="00812184">
              <w:t xml:space="preserve"> health care service ordered,</w:t>
            </w:r>
            <w:r w:rsidRPr="00812184">
              <w:t xml:space="preserve"> requested,</w:t>
            </w:r>
            <w:r w:rsidRPr="00272877">
              <w:t xml:space="preserve"> provided</w:t>
            </w:r>
            <w:r>
              <w:t>, or to be provided</w:t>
            </w:r>
            <w:r w:rsidRPr="00272877">
              <w:t xml:space="preserve"> by </w:t>
            </w:r>
            <w:r>
              <w:t>a</w:t>
            </w:r>
            <w:r w:rsidRPr="00272877">
              <w:t xml:space="preserve"> physician</w:t>
            </w:r>
            <w:r>
              <w:t xml:space="preserve"> to be of </w:t>
            </w:r>
            <w:r w:rsidRPr="00272877">
              <w:t xml:space="preserve">the same </w:t>
            </w:r>
            <w:r w:rsidRPr="00272877">
              <w:t>or</w:t>
            </w:r>
            <w:r>
              <w:t xml:space="preserve"> a</w:t>
            </w:r>
            <w:r w:rsidRPr="00272877">
              <w:t xml:space="preserve"> similar specialty as that physician.</w:t>
            </w:r>
            <w:r>
              <w:t xml:space="preserve"> </w:t>
            </w:r>
            <w:r>
              <w:t>The bill</w:t>
            </w:r>
            <w:r>
              <w:t xml:space="preserve"> similarly</w:t>
            </w:r>
            <w:r>
              <w:t xml:space="preserve"> requires </w:t>
            </w:r>
            <w:r>
              <w:t xml:space="preserve">a physician who </w:t>
            </w:r>
            <w:r>
              <w:t xml:space="preserve">makes the </w:t>
            </w:r>
            <w:r>
              <w:t xml:space="preserve">decision on </w:t>
            </w:r>
            <w:r>
              <w:t>an</w:t>
            </w:r>
            <w:r>
              <w:t xml:space="preserve"> appeal of an</w:t>
            </w:r>
            <w:r>
              <w:t xml:space="preserve"> adverse determination</w:t>
            </w:r>
            <w:r>
              <w:t xml:space="preserve"> </w:t>
            </w:r>
            <w:r>
              <w:t>related to a</w:t>
            </w:r>
            <w:r>
              <w:t xml:space="preserve"> health care service ordered, requested, provided, or to be provided </w:t>
            </w:r>
            <w:r>
              <w:t>by a physician</w:t>
            </w:r>
            <w:r>
              <w:t xml:space="preserve"> to be</w:t>
            </w:r>
            <w:r>
              <w:t xml:space="preserve"> </w:t>
            </w:r>
            <w:r w:rsidRPr="00FB5C87">
              <w:t>of the s</w:t>
            </w:r>
            <w:r w:rsidRPr="00FB5C87">
              <w:t xml:space="preserve">ame or </w:t>
            </w:r>
            <w:r>
              <w:t xml:space="preserve">a </w:t>
            </w:r>
            <w:r w:rsidRPr="00FB5C87">
              <w:t>similar specialty</w:t>
            </w:r>
            <w:r>
              <w:t xml:space="preserve"> as that physician</w:t>
            </w:r>
            <w:r>
              <w:t>.</w:t>
            </w:r>
            <w:r>
              <w:t xml:space="preserve"> </w:t>
            </w:r>
            <w:r w:rsidRPr="00941D49">
              <w:t>The bill</w:t>
            </w:r>
            <w:r w:rsidRPr="00941D49">
              <w:t xml:space="preserve"> requires a physician </w:t>
            </w:r>
            <w:r w:rsidRPr="00941D49">
              <w:t xml:space="preserve">or health care provider </w:t>
            </w:r>
            <w:r w:rsidRPr="00941D49">
              <w:t>who denies</w:t>
            </w:r>
            <w:r w:rsidRPr="00941D49">
              <w:t xml:space="preserve"> an appeal of an adverse determination to comply with applicable laws</w:t>
            </w:r>
            <w:r>
              <w:t>.</w:t>
            </w:r>
          </w:p>
          <w:p w:rsidR="00272877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F364A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2387 </w:t>
            </w:r>
            <w:r>
              <w:t xml:space="preserve">requires </w:t>
            </w:r>
            <w:r>
              <w:t>certain</w:t>
            </w:r>
            <w:r>
              <w:t xml:space="preserve"> health care provider</w:t>
            </w:r>
            <w:r>
              <w:t xml:space="preserve">s </w:t>
            </w:r>
            <w:r>
              <w:t>involved in</w:t>
            </w:r>
            <w:r>
              <w:t xml:space="preserve"> </w:t>
            </w:r>
            <w:r>
              <w:t xml:space="preserve">the process of </w:t>
            </w:r>
            <w:r>
              <w:t>utilization review by</w:t>
            </w:r>
            <w:r>
              <w:t xml:space="preserve"> a spec</w:t>
            </w:r>
            <w:r>
              <w:t>ialty utilization review agent</w:t>
            </w:r>
            <w:r>
              <w:t xml:space="preserve"> to be licensed or otherwise authorized to provide the specialty health care service in Texas.</w:t>
            </w:r>
            <w:r>
              <w:t xml:space="preserve"> </w:t>
            </w:r>
          </w:p>
          <w:p w:rsidR="000F364A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F58CB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26668E">
              <w:t xml:space="preserve">H.B. 2387 </w:t>
            </w:r>
            <w:r w:rsidRPr="0026668E">
              <w:t>requires</w:t>
            </w:r>
            <w:r w:rsidRPr="0026668E">
              <w:t xml:space="preserve"> personnel employed by or under contract with a utilization revi</w:t>
            </w:r>
            <w:r w:rsidRPr="0026668E">
              <w:t>ew agent</w:t>
            </w:r>
            <w:r w:rsidRPr="0026668E">
              <w:t xml:space="preserve"> or a specialty utilization review agent</w:t>
            </w:r>
            <w:r w:rsidRPr="0026668E">
              <w:t xml:space="preserve"> </w:t>
            </w:r>
            <w:r w:rsidRPr="0026668E">
              <w:t>for the purpose of performing</w:t>
            </w:r>
            <w:r w:rsidRPr="0026668E">
              <w:t xml:space="preserve"> utilization review to meet the requirements of applicable</w:t>
            </w:r>
            <w:r w:rsidRPr="0026668E">
              <w:t xml:space="preserve"> state</w:t>
            </w:r>
            <w:r w:rsidRPr="0026668E">
              <w:t xml:space="preserve"> law, including licensing </w:t>
            </w:r>
            <w:r>
              <w:t xml:space="preserve">requirements or </w:t>
            </w:r>
            <w:r w:rsidRPr="0026668E">
              <w:t>laws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requires </w:t>
            </w:r>
            <w:r>
              <w:t xml:space="preserve">the standards adopted by the </w:t>
            </w:r>
            <w:r w:rsidRPr="0025505A">
              <w:t>commissioner of ins</w:t>
            </w:r>
            <w:r w:rsidRPr="0025505A">
              <w:t>urance</w:t>
            </w:r>
            <w:r>
              <w:t xml:space="preserve"> with regard to the </w:t>
            </w:r>
            <w:r w:rsidRPr="00793C5E">
              <w:t xml:space="preserve">qualifications and independence of each physician or other health care provider making </w:t>
            </w:r>
            <w:r w:rsidRPr="0025505A">
              <w:t xml:space="preserve">a </w:t>
            </w:r>
            <w:r w:rsidRPr="00272877">
              <w:t>review determination</w:t>
            </w:r>
            <w:r w:rsidRPr="00793C5E">
              <w:t xml:space="preserve"> for an independent review organization</w:t>
            </w:r>
            <w:r>
              <w:t xml:space="preserve"> to be </w:t>
            </w:r>
            <w:r w:rsidRPr="00793C5E">
              <w:t>consistent wi</w:t>
            </w:r>
            <w:r>
              <w:t>th state licensing laws and to ensure that personnel conductin</w:t>
            </w:r>
            <w:r>
              <w:t>g independent review for a health care service are licensed or otherwise authorized to provide the same or</w:t>
            </w:r>
            <w:r>
              <w:t xml:space="preserve"> a</w:t>
            </w:r>
            <w:r>
              <w:t xml:space="preserve"> similar health care service in Texas.</w:t>
            </w:r>
          </w:p>
          <w:p w:rsidR="003F58CB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379DC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2387 amends the Labor Code</w:t>
            </w:r>
            <w:r>
              <w:t xml:space="preserve"> to require a doctor </w:t>
            </w:r>
            <w:r>
              <w:t>perform</w:t>
            </w:r>
            <w:r>
              <w:t>ing peer review or a utilization review or in</w:t>
            </w:r>
            <w:r>
              <w:t xml:space="preserve">dependent review of a health care service </w:t>
            </w:r>
            <w:r>
              <w:t>requested, ordered, provided, or to be provided by a physician</w:t>
            </w:r>
            <w:r>
              <w:t xml:space="preserve"> with respect to a specific workers' compensation case to be of the same or a similar specialty as that physician.</w:t>
            </w:r>
          </w:p>
          <w:p w:rsidR="00793C5E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4F3D8B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1A1910">
              <w:t xml:space="preserve">H.B. 2387 </w:t>
            </w:r>
            <w:r>
              <w:t xml:space="preserve">amends the Occupations Code to </w:t>
            </w:r>
            <w:r>
              <w:t>establish that</w:t>
            </w:r>
            <w:r>
              <w:t xml:space="preserve"> a person who does the following </w:t>
            </w:r>
            <w:r>
              <w:t xml:space="preserve">is considered </w:t>
            </w:r>
            <w:r w:rsidRPr="001A1910">
              <w:t xml:space="preserve">to be engaged in the practice of medicine in </w:t>
            </w:r>
            <w:r>
              <w:t>Texas</w:t>
            </w:r>
            <w:r w:rsidRPr="001A1910">
              <w:t xml:space="preserve"> and</w:t>
            </w:r>
            <w:r>
              <w:t xml:space="preserve"> is</w:t>
            </w:r>
            <w:r w:rsidRPr="001A1910">
              <w:t xml:space="preserve"> subject</w:t>
            </w:r>
            <w:r>
              <w:t xml:space="preserve"> </w:t>
            </w:r>
            <w:r w:rsidRPr="001A1910">
              <w:t>to appropriate regulation by the Texas Medical Board:</w:t>
            </w:r>
          </w:p>
          <w:p w:rsidR="00BB4448" w:rsidRDefault="00C35113" w:rsidP="00FA06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makes on behalf of a utilization review agent or directs a utilization review agent to make an adverse determination, </w:t>
            </w:r>
            <w:r>
              <w:t xml:space="preserve">which does </w:t>
            </w:r>
            <w:r>
              <w:t>not includ</w:t>
            </w:r>
            <w:r>
              <w:t>e</w:t>
            </w:r>
            <w:r>
              <w:t xml:space="preserve"> </w:t>
            </w:r>
            <w:r w:rsidRPr="004F3D8B">
              <w:t>a denial of health care services based on the failure to request prospective or concurrent review</w:t>
            </w:r>
            <w:r>
              <w:t>;</w:t>
            </w:r>
          </w:p>
          <w:p w:rsidR="00BB4448" w:rsidRDefault="00C35113" w:rsidP="00FA06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serves as a medi</w:t>
            </w:r>
            <w:r>
              <w:t>cal director of a certified independent review organization;</w:t>
            </w:r>
          </w:p>
          <w:p w:rsidR="00BB4448" w:rsidRDefault="00C35113" w:rsidP="00FA06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reviews or approves a utilization review plan;</w:t>
            </w:r>
          </w:p>
          <w:p w:rsidR="00BB4448" w:rsidRDefault="00C35113" w:rsidP="00FA06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supervises and directs utilization review; or</w:t>
            </w:r>
          </w:p>
          <w:p w:rsidR="004F3D8B" w:rsidRDefault="00C35113" w:rsidP="00FA06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discusses a patient's treatment plan and the clinical basis for an adverse determination before the </w:t>
            </w:r>
            <w:r>
              <w:t>ad</w:t>
            </w:r>
            <w:r>
              <w:t>verse determination is issued.</w:t>
            </w:r>
          </w:p>
          <w:p w:rsidR="00555C70" w:rsidRPr="00835628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33B47" w:rsidTr="00345119">
        <w:tc>
          <w:tcPr>
            <w:tcW w:w="9576" w:type="dxa"/>
          </w:tcPr>
          <w:p w:rsidR="008423E4" w:rsidRPr="00A8133F" w:rsidRDefault="00C35113" w:rsidP="00FA06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5113" w:rsidP="00FA06ED"/>
          <w:p w:rsidR="008423E4" w:rsidRPr="003624F2" w:rsidRDefault="00C35113" w:rsidP="00FA0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35113" w:rsidP="00FA06ED">
            <w:pPr>
              <w:rPr>
                <w:b/>
              </w:rPr>
            </w:pPr>
          </w:p>
        </w:tc>
      </w:tr>
      <w:tr w:rsidR="00933B47" w:rsidTr="00345119">
        <w:tc>
          <w:tcPr>
            <w:tcW w:w="9576" w:type="dxa"/>
          </w:tcPr>
          <w:p w:rsidR="00812AA4" w:rsidRDefault="00C35113" w:rsidP="00FA06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B5AB5" w:rsidRDefault="00C35113" w:rsidP="00FA06ED">
            <w:pPr>
              <w:jc w:val="both"/>
            </w:pPr>
          </w:p>
          <w:p w:rsidR="00AB5AB5" w:rsidRDefault="00C35113" w:rsidP="00FA06ED">
            <w:pPr>
              <w:jc w:val="both"/>
            </w:pPr>
            <w:r>
              <w:t>While C.S.H.B. 2387 may differ from the original in minor or nonsubstantive ways, the following summarizes the substantial differences between the</w:t>
            </w:r>
            <w:r>
              <w:t xml:space="preserve"> introduced and committee substitute versions of the bill.</w:t>
            </w:r>
          </w:p>
          <w:p w:rsidR="00AB5AB5" w:rsidRDefault="00C35113" w:rsidP="00FA06ED">
            <w:pPr>
              <w:jc w:val="both"/>
            </w:pPr>
          </w:p>
          <w:p w:rsidR="004E1F3B" w:rsidRDefault="00C35113" w:rsidP="00FA06ED">
            <w:pPr>
              <w:jc w:val="both"/>
            </w:pPr>
            <w:r>
              <w:t>The substitute makes the bill's provisions applicable</w:t>
            </w:r>
            <w:r>
              <w:t xml:space="preserve"> also</w:t>
            </w:r>
            <w:r>
              <w:t xml:space="preserve"> to treatment and health care services to be provided by a physician. </w:t>
            </w:r>
          </w:p>
          <w:p w:rsidR="004E1F3B" w:rsidRDefault="00C35113" w:rsidP="00FA06ED">
            <w:pPr>
              <w:jc w:val="both"/>
            </w:pPr>
          </w:p>
          <w:p w:rsidR="00AB5AB5" w:rsidRDefault="00C35113" w:rsidP="00FA06ED">
            <w:pPr>
              <w:jc w:val="both"/>
            </w:pPr>
            <w:r>
              <w:t>The substitute</w:t>
            </w:r>
            <w:r>
              <w:t xml:space="preserve"> includes a requirement for a doctor</w:t>
            </w:r>
            <w:r>
              <w:t xml:space="preserve"> who performs certain reviews of a health care service requested, ordered, provided, or to be provided by a physician with respect to a specific workers' compensation case to be of the same or a similar specialty as that physician.</w:t>
            </w:r>
          </w:p>
          <w:p w:rsidR="00AB5AB5" w:rsidRPr="00AB5AB5" w:rsidRDefault="00C35113" w:rsidP="00FA06ED">
            <w:pPr>
              <w:jc w:val="both"/>
            </w:pPr>
          </w:p>
        </w:tc>
      </w:tr>
      <w:tr w:rsidR="00933B47" w:rsidTr="00345119">
        <w:tc>
          <w:tcPr>
            <w:tcW w:w="9576" w:type="dxa"/>
          </w:tcPr>
          <w:p w:rsidR="00812AA4" w:rsidRPr="009C1E9A" w:rsidRDefault="00C35113" w:rsidP="00FA06ED">
            <w:pPr>
              <w:rPr>
                <w:b/>
                <w:u w:val="single"/>
              </w:rPr>
            </w:pPr>
          </w:p>
        </w:tc>
      </w:tr>
      <w:tr w:rsidR="00933B47" w:rsidTr="00345119">
        <w:tc>
          <w:tcPr>
            <w:tcW w:w="9576" w:type="dxa"/>
          </w:tcPr>
          <w:p w:rsidR="00812AA4" w:rsidRPr="00812AA4" w:rsidRDefault="00C35113" w:rsidP="00FA06ED">
            <w:pPr>
              <w:jc w:val="both"/>
            </w:pPr>
          </w:p>
        </w:tc>
      </w:tr>
    </w:tbl>
    <w:p w:rsidR="008423E4" w:rsidRPr="00BE0E75" w:rsidRDefault="00C351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511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5113">
      <w:r>
        <w:separator/>
      </w:r>
    </w:p>
  </w:endnote>
  <w:endnote w:type="continuationSeparator" w:id="0">
    <w:p w:rsidR="00000000" w:rsidRDefault="00C3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5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3B47" w:rsidTr="009C1E9A">
      <w:trPr>
        <w:cantSplit/>
      </w:trPr>
      <w:tc>
        <w:tcPr>
          <w:tcW w:w="0" w:type="pct"/>
        </w:tcPr>
        <w:p w:rsidR="00137D90" w:rsidRDefault="00C351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51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51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51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51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3B47" w:rsidTr="009C1E9A">
      <w:trPr>
        <w:cantSplit/>
      </w:trPr>
      <w:tc>
        <w:tcPr>
          <w:tcW w:w="0" w:type="pct"/>
        </w:tcPr>
        <w:p w:rsidR="00EC379B" w:rsidRDefault="00C351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51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24925</w:t>
          </w:r>
        </w:p>
      </w:tc>
      <w:tc>
        <w:tcPr>
          <w:tcW w:w="2453" w:type="pct"/>
        </w:tcPr>
        <w:p w:rsidR="00EC379B" w:rsidRDefault="00C351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19.95.1862</w:t>
          </w:r>
          <w:r>
            <w:fldChar w:fldCharType="end"/>
          </w:r>
        </w:p>
      </w:tc>
    </w:tr>
    <w:tr w:rsidR="00933B47" w:rsidTr="009C1E9A">
      <w:trPr>
        <w:cantSplit/>
      </w:trPr>
      <w:tc>
        <w:tcPr>
          <w:tcW w:w="0" w:type="pct"/>
        </w:tcPr>
        <w:p w:rsidR="00EC379B" w:rsidRDefault="00C351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51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22677</w:t>
          </w:r>
        </w:p>
      </w:tc>
      <w:tc>
        <w:tcPr>
          <w:tcW w:w="2453" w:type="pct"/>
        </w:tcPr>
        <w:p w:rsidR="00EC379B" w:rsidRDefault="00C35113" w:rsidP="006D504F">
          <w:pPr>
            <w:pStyle w:val="Footer"/>
            <w:rPr>
              <w:rStyle w:val="PageNumber"/>
            </w:rPr>
          </w:pPr>
        </w:p>
        <w:p w:rsidR="00EC379B" w:rsidRDefault="00C351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3B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51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C351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51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5113">
      <w:r>
        <w:separator/>
      </w:r>
    </w:p>
  </w:footnote>
  <w:footnote w:type="continuationSeparator" w:id="0">
    <w:p w:rsidR="00000000" w:rsidRDefault="00C3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5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5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5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5F6"/>
    <w:multiLevelType w:val="hybridMultilevel"/>
    <w:tmpl w:val="FFD8925C"/>
    <w:lvl w:ilvl="0" w:tplc="8E5A8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20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8F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80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49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68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C2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46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48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0E4C"/>
    <w:multiLevelType w:val="hybridMultilevel"/>
    <w:tmpl w:val="6A3ABA18"/>
    <w:lvl w:ilvl="0" w:tplc="C444E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61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C2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27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8E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C0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26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AB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E6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595"/>
    <w:multiLevelType w:val="hybridMultilevel"/>
    <w:tmpl w:val="AD5ADE6E"/>
    <w:lvl w:ilvl="0" w:tplc="DA7EB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C0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8A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48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CD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23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E3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0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C6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47"/>
    <w:rsid w:val="00933B47"/>
    <w:rsid w:val="00C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F0D583-36F2-44E6-9E65-53225196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2D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2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D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D48"/>
    <w:rPr>
      <w:b/>
      <w:bCs/>
    </w:rPr>
  </w:style>
  <w:style w:type="paragraph" w:styleId="Revision">
    <w:name w:val="Revision"/>
    <w:hidden/>
    <w:uiPriority w:val="99"/>
    <w:semiHidden/>
    <w:rsid w:val="007A2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5661</Characters>
  <Application>Microsoft Office Word</Application>
  <DocSecurity>4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HB02387 (Committee Report (Substituted))</vt:lpstr>
    </vt:vector>
  </TitlesOfParts>
  <Company>State of Texas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24925</dc:subject>
  <dc:creator>State of Texas</dc:creator>
  <dc:description>HB 2387 by Bonnen, Greg-(H)Insurance (Substitute Document Number: 86R 22677)</dc:description>
  <cp:lastModifiedBy>Laura Ramsay</cp:lastModifiedBy>
  <cp:revision>2</cp:revision>
  <cp:lastPrinted>2003-11-26T17:21:00Z</cp:lastPrinted>
  <dcterms:created xsi:type="dcterms:W3CDTF">2019-04-10T21:29:00Z</dcterms:created>
  <dcterms:modified xsi:type="dcterms:W3CDTF">2019-04-10T21:29:00Z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19.95.1862</vt:lpwstr>
  </property>
</Properties>
</file>