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17385" w:rsidTr="00345119">
        <w:tc>
          <w:tcPr>
            <w:tcW w:w="9576" w:type="dxa"/>
            <w:noWrap/>
          </w:tcPr>
          <w:p w:rsidR="008423E4" w:rsidRPr="0022177D" w:rsidRDefault="00D1744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1744E" w:rsidP="008423E4">
      <w:pPr>
        <w:jc w:val="center"/>
      </w:pPr>
    </w:p>
    <w:p w:rsidR="008423E4" w:rsidRPr="00B31F0E" w:rsidRDefault="00D1744E" w:rsidP="008423E4"/>
    <w:p w:rsidR="008423E4" w:rsidRPr="00742794" w:rsidRDefault="00D1744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17385" w:rsidTr="00345119">
        <w:tc>
          <w:tcPr>
            <w:tcW w:w="9576" w:type="dxa"/>
          </w:tcPr>
          <w:p w:rsidR="008423E4" w:rsidRPr="00861995" w:rsidRDefault="00D1744E" w:rsidP="00F840F5">
            <w:pPr>
              <w:jc w:val="right"/>
            </w:pPr>
            <w:r>
              <w:t>C.S.H.B. 2397</w:t>
            </w:r>
          </w:p>
        </w:tc>
      </w:tr>
      <w:tr w:rsidR="00F17385" w:rsidTr="00345119">
        <w:tc>
          <w:tcPr>
            <w:tcW w:w="9576" w:type="dxa"/>
          </w:tcPr>
          <w:p w:rsidR="008423E4" w:rsidRPr="00861995" w:rsidRDefault="00D1744E" w:rsidP="00304EDC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F17385" w:rsidTr="00345119">
        <w:tc>
          <w:tcPr>
            <w:tcW w:w="9576" w:type="dxa"/>
          </w:tcPr>
          <w:p w:rsidR="008423E4" w:rsidRPr="00861995" w:rsidRDefault="00D1744E" w:rsidP="00345119">
            <w:pPr>
              <w:jc w:val="right"/>
            </w:pPr>
            <w:r>
              <w:t>Ways &amp; Means</w:t>
            </w:r>
          </w:p>
        </w:tc>
      </w:tr>
      <w:tr w:rsidR="00F17385" w:rsidTr="00345119">
        <w:tc>
          <w:tcPr>
            <w:tcW w:w="9576" w:type="dxa"/>
          </w:tcPr>
          <w:p w:rsidR="008423E4" w:rsidRDefault="00D1744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D1744E" w:rsidP="008423E4">
      <w:pPr>
        <w:tabs>
          <w:tab w:val="right" w:pos="9360"/>
        </w:tabs>
      </w:pPr>
    </w:p>
    <w:p w:rsidR="008423E4" w:rsidRDefault="00D1744E" w:rsidP="008423E4"/>
    <w:p w:rsidR="008423E4" w:rsidRDefault="00D1744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17385" w:rsidTr="00345119">
        <w:tc>
          <w:tcPr>
            <w:tcW w:w="9576" w:type="dxa"/>
          </w:tcPr>
          <w:p w:rsidR="008423E4" w:rsidRPr="00A8133F" w:rsidRDefault="00D1744E" w:rsidP="00356D2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1744E" w:rsidP="00356D29"/>
          <w:p w:rsidR="008423E4" w:rsidRDefault="00D1744E" w:rsidP="00356D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There are suggestions that</w:t>
            </w:r>
            <w:r>
              <w:t xml:space="preserve"> federal legislation</w:t>
            </w:r>
            <w:r w:rsidRPr="00EA09CF">
              <w:t xml:space="preserve"> establish</w:t>
            </w:r>
            <w:r>
              <w:t>ing</w:t>
            </w:r>
            <w:r w:rsidRPr="00EA09CF">
              <w:t xml:space="preserve"> </w:t>
            </w:r>
            <w:r>
              <w:t>e</w:t>
            </w:r>
            <w:r w:rsidRPr="00EA09CF">
              <w:t xml:space="preserve">conomic </w:t>
            </w:r>
            <w:r>
              <w:t>o</w:t>
            </w:r>
            <w:r w:rsidRPr="00EA09CF">
              <w:t xml:space="preserve">pportunity </w:t>
            </w:r>
            <w:r>
              <w:t>z</w:t>
            </w:r>
            <w:r w:rsidRPr="00EA09CF">
              <w:t xml:space="preserve">ones, which at the federal level provide a tax </w:t>
            </w:r>
            <w:r w:rsidRPr="00EA09CF">
              <w:t>incentive for investing in th</w:t>
            </w:r>
            <w:r>
              <w:t>o</w:t>
            </w:r>
            <w:r w:rsidRPr="00EA09CF">
              <w:t xml:space="preserve">se </w:t>
            </w:r>
            <w:r>
              <w:t>zones</w:t>
            </w:r>
            <w:r>
              <w:t xml:space="preserve">, </w:t>
            </w:r>
            <w:r>
              <w:t xml:space="preserve">could serve </w:t>
            </w:r>
            <w:r>
              <w:t xml:space="preserve">as a </w:t>
            </w:r>
            <w:r>
              <w:t xml:space="preserve">potential </w:t>
            </w:r>
            <w:r>
              <w:t xml:space="preserve">model for </w:t>
            </w:r>
            <w:r>
              <w:t>Texas</w:t>
            </w:r>
            <w:r>
              <w:t xml:space="preserve"> in </w:t>
            </w:r>
            <w:r>
              <w:t>its</w:t>
            </w:r>
            <w:r>
              <w:t xml:space="preserve"> effort to ensure that the areas of </w:t>
            </w:r>
            <w:r>
              <w:t>the state</w:t>
            </w:r>
            <w:r>
              <w:t xml:space="preserve"> that </w:t>
            </w:r>
            <w:r>
              <w:t xml:space="preserve">are most in </w:t>
            </w:r>
            <w:r>
              <w:t xml:space="preserve">need </w:t>
            </w:r>
            <w:r>
              <w:t xml:space="preserve">of </w:t>
            </w:r>
            <w:r>
              <w:t>economic development receive adequate investment</w:t>
            </w:r>
            <w:r w:rsidRPr="00EA09CF">
              <w:t xml:space="preserve">. </w:t>
            </w:r>
            <w:r>
              <w:t>C.S.H.B.</w:t>
            </w:r>
            <w:r>
              <w:t xml:space="preserve"> 2397 seeks to provide franchise tax c</w:t>
            </w:r>
            <w:r>
              <w:t>redits for qualifying investments made in an area designated as an economic opportunity zone under that federal law.</w:t>
            </w:r>
          </w:p>
          <w:p w:rsidR="008423E4" w:rsidRPr="00E26B13" w:rsidRDefault="00D1744E" w:rsidP="00356D29">
            <w:pPr>
              <w:rPr>
                <w:b/>
              </w:rPr>
            </w:pPr>
          </w:p>
        </w:tc>
      </w:tr>
      <w:tr w:rsidR="00F17385" w:rsidTr="00345119">
        <w:tc>
          <w:tcPr>
            <w:tcW w:w="9576" w:type="dxa"/>
          </w:tcPr>
          <w:p w:rsidR="0017725B" w:rsidRDefault="00D1744E" w:rsidP="00356D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1744E" w:rsidP="00356D29">
            <w:pPr>
              <w:rPr>
                <w:b/>
                <w:u w:val="single"/>
              </w:rPr>
            </w:pPr>
          </w:p>
          <w:p w:rsidR="00833A6B" w:rsidRPr="00833A6B" w:rsidRDefault="00D1744E" w:rsidP="00356D29">
            <w:pPr>
              <w:jc w:val="both"/>
            </w:pPr>
            <w:r>
              <w:t xml:space="preserve">It is the committee's opinion that this bill does not expressly create a criminal offense, increase the </w:t>
            </w:r>
            <w:r>
              <w:t>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1744E" w:rsidP="00356D29">
            <w:pPr>
              <w:rPr>
                <w:b/>
                <w:u w:val="single"/>
              </w:rPr>
            </w:pPr>
          </w:p>
        </w:tc>
      </w:tr>
      <w:tr w:rsidR="00F17385" w:rsidTr="00345119">
        <w:tc>
          <w:tcPr>
            <w:tcW w:w="9576" w:type="dxa"/>
          </w:tcPr>
          <w:p w:rsidR="008423E4" w:rsidRPr="00A8133F" w:rsidRDefault="00D1744E" w:rsidP="00356D2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1744E" w:rsidP="00356D29"/>
          <w:p w:rsidR="00833A6B" w:rsidRDefault="00D1744E" w:rsidP="00356D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</w:t>
            </w:r>
            <w:r>
              <w:t>essly granted to the comptroller of public accounts in SECTION 1 of this bill.</w:t>
            </w:r>
          </w:p>
          <w:p w:rsidR="008423E4" w:rsidRPr="00E21FDC" w:rsidRDefault="00D1744E" w:rsidP="00356D29">
            <w:pPr>
              <w:rPr>
                <w:b/>
              </w:rPr>
            </w:pPr>
          </w:p>
        </w:tc>
      </w:tr>
      <w:tr w:rsidR="00F17385" w:rsidTr="00345119">
        <w:tc>
          <w:tcPr>
            <w:tcW w:w="9576" w:type="dxa"/>
          </w:tcPr>
          <w:p w:rsidR="008423E4" w:rsidRPr="00A8133F" w:rsidRDefault="00D1744E" w:rsidP="00356D2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1744E" w:rsidP="00356D29"/>
          <w:p w:rsidR="00065A54" w:rsidRDefault="00D1744E" w:rsidP="00356D29">
            <w:pPr>
              <w:pStyle w:val="Header"/>
              <w:jc w:val="both"/>
            </w:pPr>
            <w:r>
              <w:t>C.S.H.B.</w:t>
            </w:r>
            <w:r>
              <w:t xml:space="preserve"> 2397 amends the Tax Code to </w:t>
            </w:r>
            <w:r>
              <w:t xml:space="preserve">make </w:t>
            </w:r>
            <w:r>
              <w:t xml:space="preserve">a taxable </w:t>
            </w:r>
            <w:r>
              <w:t>entity that makes a qualifying investment on or after September 1, 2019, and in a</w:t>
            </w:r>
            <w:r>
              <w:t xml:space="preserve"> total</w:t>
            </w:r>
            <w:r>
              <w:t xml:space="preserve"> amount that is at least </w:t>
            </w:r>
            <w:r>
              <w:t xml:space="preserve">$100,000 eligible for </w:t>
            </w:r>
            <w:r>
              <w:t xml:space="preserve">a </w:t>
            </w:r>
            <w:r>
              <w:t xml:space="preserve">franchise </w:t>
            </w:r>
            <w:r>
              <w:t xml:space="preserve">tax credit </w:t>
            </w:r>
            <w:r>
              <w:t>in an</w:t>
            </w:r>
            <w:r w:rsidRPr="00570182">
              <w:t xml:space="preserve"> amount equal to 25 percent of the total amount of the qualifying investment.</w:t>
            </w:r>
            <w:r>
              <w:t xml:space="preserve"> The bill defines "qualifying investment" as an investment</w:t>
            </w:r>
            <w:r>
              <w:t xml:space="preserve"> made by a taxable entity:</w:t>
            </w:r>
          </w:p>
          <w:p w:rsidR="00065A54" w:rsidRDefault="00D1744E" w:rsidP="00356D29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to remodel, rehabilitate, or construct a str</w:t>
            </w:r>
            <w:r>
              <w:t xml:space="preserve">ucture owned or leased by the entity that is located </w:t>
            </w:r>
            <w:r>
              <w:t xml:space="preserve">in </w:t>
            </w:r>
            <w:r>
              <w:t xml:space="preserve">an economic opportunity zone, defined by the bill as a </w:t>
            </w:r>
            <w:r>
              <w:t xml:space="preserve">population census tract </w:t>
            </w:r>
            <w:r>
              <w:t xml:space="preserve">in Texas </w:t>
            </w:r>
            <w:r>
              <w:t xml:space="preserve">that, as of September 1, 2019, was designated as a qualified opportunity zone under </w:t>
            </w:r>
            <w:r>
              <w:t>federal law</w:t>
            </w:r>
            <w:r>
              <w:t xml:space="preserve">; </w:t>
            </w:r>
          </w:p>
          <w:p w:rsidR="001440EA" w:rsidRDefault="00D1744E" w:rsidP="00356D29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 w:rsidRPr="00570182">
              <w:t>to purchase eq</w:t>
            </w:r>
            <w:r w:rsidRPr="00570182">
              <w:t xml:space="preserve">uipment or machinery to be located in, or used in the operation of, a structure owned or leased by the entity that is located in </w:t>
            </w:r>
            <w:r>
              <w:t xml:space="preserve">such </w:t>
            </w:r>
            <w:r w:rsidRPr="00570182">
              <w:t>an economic opportunity zone</w:t>
            </w:r>
            <w:r>
              <w:t>;</w:t>
            </w:r>
            <w:r>
              <w:t xml:space="preserve"> or</w:t>
            </w:r>
          </w:p>
          <w:p w:rsidR="00750A11" w:rsidRDefault="00D1744E" w:rsidP="00356D29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for one or more </w:t>
            </w:r>
            <w:r>
              <w:t xml:space="preserve">of </w:t>
            </w:r>
            <w:r>
              <w:t>those</w:t>
            </w:r>
            <w:r>
              <w:t xml:space="preserve"> purposes.</w:t>
            </w:r>
          </w:p>
          <w:p w:rsidR="00750A11" w:rsidRDefault="00D1744E" w:rsidP="00356D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319D7" w:rsidRDefault="00D1744E" w:rsidP="00356D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</w:t>
            </w:r>
            <w:r>
              <w:t xml:space="preserve"> 2397 </w:t>
            </w:r>
            <w:r>
              <w:t xml:space="preserve">sets out requirements for a taxable </w:t>
            </w:r>
            <w:r>
              <w:t>entity in requesting</w:t>
            </w:r>
            <w:r>
              <w:t xml:space="preserve"> </w:t>
            </w:r>
            <w:r>
              <w:t>certificat</w:t>
            </w:r>
            <w:r>
              <w:t>ion</w:t>
            </w:r>
            <w:r>
              <w:t xml:space="preserve"> by the comptroller</w:t>
            </w:r>
            <w:r>
              <w:t xml:space="preserve"> of public accounts that </w:t>
            </w:r>
            <w:r>
              <w:t>the</w:t>
            </w:r>
            <w:r>
              <w:t xml:space="preserve"> </w:t>
            </w:r>
            <w:r>
              <w:t>entity qualifies for the franchise tax credit</w:t>
            </w:r>
            <w:r>
              <w:t>, provides for the comptroller's issuance of the certificate of eligibility,</w:t>
            </w:r>
            <w:r>
              <w:t xml:space="preserve"> and sets out provisions relating to the application </w:t>
            </w:r>
            <w:r>
              <w:t>for the credit</w:t>
            </w:r>
            <w:r>
              <w:t>. The bill prohibits a</w:t>
            </w:r>
            <w:r>
              <w:t xml:space="preserve"> taxable</w:t>
            </w:r>
            <w:r>
              <w:t xml:space="preserve"> entity from claiming more than one credit. The bill </w:t>
            </w:r>
            <w:r>
              <w:t>limits</w:t>
            </w:r>
            <w:r>
              <w:t xml:space="preserve"> the total credit claimed for a report</w:t>
            </w:r>
            <w:r>
              <w:t xml:space="preserve"> </w:t>
            </w:r>
            <w:r>
              <w:t xml:space="preserve">at the amount of franchise tax due for the report after </w:t>
            </w:r>
            <w:r>
              <w:t xml:space="preserve">all </w:t>
            </w:r>
            <w:r>
              <w:t>other applicable tax credits</w:t>
            </w:r>
            <w:r>
              <w:t>.</w:t>
            </w:r>
          </w:p>
          <w:p w:rsidR="007319D7" w:rsidRDefault="00D1744E" w:rsidP="00356D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204F3" w:rsidRDefault="00D1744E" w:rsidP="00356D29">
            <w:pPr>
              <w:pStyle w:val="Header"/>
              <w:jc w:val="both"/>
            </w:pPr>
            <w:r>
              <w:t>C.S.H.B.</w:t>
            </w:r>
            <w:r>
              <w:t xml:space="preserve"> 2397 </w:t>
            </w:r>
            <w:r>
              <w:t>establish</w:t>
            </w:r>
            <w:r>
              <w:t xml:space="preserve">es that a qualifying investment may be counted only once in determining the amount of the tax credit available and prohibits more than one </w:t>
            </w:r>
            <w:r>
              <w:t xml:space="preserve">taxable </w:t>
            </w:r>
            <w:r>
              <w:t>entity from claiming a credit for the same qualifying investment</w:t>
            </w:r>
            <w:r>
              <w:t>.</w:t>
            </w:r>
            <w:r>
              <w:t xml:space="preserve"> </w:t>
            </w:r>
            <w:r>
              <w:t xml:space="preserve">The bill </w:t>
            </w:r>
            <w:r>
              <w:t xml:space="preserve">requires the comptroller to adopt </w:t>
            </w:r>
            <w:r>
              <w:t>rules necessary to implement and administer the bill's provisions</w:t>
            </w:r>
            <w:r>
              <w:t>.</w:t>
            </w:r>
            <w:r>
              <w:t xml:space="preserve"> </w:t>
            </w:r>
          </w:p>
          <w:p w:rsidR="008423E4" w:rsidRPr="00835628" w:rsidRDefault="00D1744E" w:rsidP="00356D29">
            <w:pPr>
              <w:rPr>
                <w:b/>
              </w:rPr>
            </w:pPr>
          </w:p>
        </w:tc>
      </w:tr>
      <w:tr w:rsidR="00F17385" w:rsidTr="00345119">
        <w:tc>
          <w:tcPr>
            <w:tcW w:w="9576" w:type="dxa"/>
          </w:tcPr>
          <w:p w:rsidR="008423E4" w:rsidRPr="00A8133F" w:rsidRDefault="00D1744E" w:rsidP="00356D2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1744E" w:rsidP="00356D29"/>
          <w:p w:rsidR="008423E4" w:rsidRPr="003624F2" w:rsidRDefault="00D1744E" w:rsidP="00356D2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2020.</w:t>
            </w:r>
          </w:p>
          <w:p w:rsidR="008423E4" w:rsidRPr="00233FDB" w:rsidRDefault="00D1744E" w:rsidP="00356D29">
            <w:pPr>
              <w:rPr>
                <w:b/>
              </w:rPr>
            </w:pPr>
          </w:p>
        </w:tc>
      </w:tr>
      <w:tr w:rsidR="00F17385" w:rsidTr="00345119">
        <w:tc>
          <w:tcPr>
            <w:tcW w:w="9576" w:type="dxa"/>
          </w:tcPr>
          <w:p w:rsidR="00304EDC" w:rsidRDefault="00D1744E" w:rsidP="00356D29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75CB3" w:rsidRDefault="00D1744E" w:rsidP="00356D29">
            <w:pPr>
              <w:jc w:val="both"/>
            </w:pPr>
          </w:p>
          <w:p w:rsidR="00475CB3" w:rsidRDefault="00D1744E" w:rsidP="00356D29">
            <w:pPr>
              <w:jc w:val="both"/>
            </w:pPr>
            <w:r>
              <w:t xml:space="preserve">While C.S.H.B. 2397 may differ from the original in minor or nonsubstantive ways, the following summarizes the </w:t>
            </w:r>
            <w:r>
              <w:t>substantial differences between the introduced and committee substitute versions of the bill.</w:t>
            </w:r>
          </w:p>
          <w:p w:rsidR="00475CB3" w:rsidRDefault="00D1744E" w:rsidP="00356D29">
            <w:pPr>
              <w:jc w:val="both"/>
            </w:pPr>
          </w:p>
          <w:p w:rsidR="00475CB3" w:rsidRDefault="00D1744E" w:rsidP="00356D29">
            <w:pPr>
              <w:jc w:val="both"/>
            </w:pPr>
            <w:r>
              <w:t>The substitute does not include provision</w:t>
            </w:r>
            <w:r>
              <w:t>s</w:t>
            </w:r>
            <w:r>
              <w:t xml:space="preserve"> </w:t>
            </w:r>
            <w:r>
              <w:t>providing</w:t>
            </w:r>
            <w:r>
              <w:t xml:space="preserve"> for a one-time </w:t>
            </w:r>
            <w:r>
              <w:t xml:space="preserve">sales and use tax </w:t>
            </w:r>
            <w:r>
              <w:t xml:space="preserve">refund </w:t>
            </w:r>
            <w:r>
              <w:t xml:space="preserve">for </w:t>
            </w:r>
            <w:r>
              <w:t xml:space="preserve">qualifying </w:t>
            </w:r>
            <w:r>
              <w:t>business</w:t>
            </w:r>
            <w:r>
              <w:t xml:space="preserve"> entities</w:t>
            </w:r>
            <w:r>
              <w:t xml:space="preserve"> </w:t>
            </w:r>
            <w:r>
              <w:t xml:space="preserve">that are eligible to receive a franchise tax credit under the bill's provisions for investment in an </w:t>
            </w:r>
            <w:r>
              <w:t>economic opportunity zone.</w:t>
            </w:r>
          </w:p>
          <w:p w:rsidR="00475CB3" w:rsidRDefault="00D1744E" w:rsidP="00356D29">
            <w:pPr>
              <w:jc w:val="both"/>
            </w:pPr>
          </w:p>
          <w:p w:rsidR="00E97E61" w:rsidRDefault="00D1744E" w:rsidP="00356D29">
            <w:pPr>
              <w:jc w:val="both"/>
            </w:pPr>
            <w:r>
              <w:t xml:space="preserve">The substitute clarifies that the </w:t>
            </w:r>
            <w:r>
              <w:t xml:space="preserve">bill's </w:t>
            </w:r>
            <w:r>
              <w:t xml:space="preserve">franchise tax credit is available only with respect to </w:t>
            </w:r>
            <w:r>
              <w:t xml:space="preserve">a </w:t>
            </w:r>
            <w:r>
              <w:t>taxable entit</w:t>
            </w:r>
            <w:r>
              <w:t xml:space="preserve">y and that an </w:t>
            </w:r>
            <w:r>
              <w:t>applicable economic opportunity zone is one located in Texas</w:t>
            </w:r>
            <w:r>
              <w:t>. The substitute</w:t>
            </w:r>
            <w:r>
              <w:t xml:space="preserve"> revises the definition of "qualifying investment" </w:t>
            </w:r>
            <w:r>
              <w:t>by including</w:t>
            </w:r>
            <w:r>
              <w:t xml:space="preserve"> an investment made for one or more</w:t>
            </w:r>
            <w:r>
              <w:t xml:space="preserve"> of the</w:t>
            </w:r>
            <w:r>
              <w:t xml:space="preserve"> otherwise qualifying purposes.</w:t>
            </w:r>
          </w:p>
          <w:p w:rsidR="00E97E61" w:rsidRDefault="00D1744E" w:rsidP="00356D29">
            <w:pPr>
              <w:jc w:val="both"/>
            </w:pPr>
          </w:p>
          <w:p w:rsidR="00294F9F" w:rsidRDefault="00D1744E" w:rsidP="00356D29">
            <w:pPr>
              <w:jc w:val="both"/>
            </w:pPr>
            <w:r>
              <w:t xml:space="preserve">The substitute </w:t>
            </w:r>
            <w:r>
              <w:t xml:space="preserve">does not include </w:t>
            </w:r>
            <w:r>
              <w:t>provisions</w:t>
            </w:r>
            <w:r>
              <w:t xml:space="preserve"> providing for the sale, assignment, or </w:t>
            </w:r>
            <w:r>
              <w:t xml:space="preserve">carryforward </w:t>
            </w:r>
            <w:r>
              <w:t xml:space="preserve">of </w:t>
            </w:r>
            <w:r>
              <w:t>all or part of a</w:t>
            </w:r>
            <w:r>
              <w:t xml:space="preserve"> franchise tax credit. </w:t>
            </w:r>
            <w:r>
              <w:t xml:space="preserve"> </w:t>
            </w:r>
          </w:p>
          <w:p w:rsidR="00294F9F" w:rsidRDefault="00D1744E" w:rsidP="00356D29">
            <w:pPr>
              <w:jc w:val="both"/>
            </w:pPr>
          </w:p>
          <w:p w:rsidR="00294F9F" w:rsidRDefault="00D1744E" w:rsidP="00356D29">
            <w:pPr>
              <w:jc w:val="both"/>
            </w:pPr>
            <w:r>
              <w:t xml:space="preserve">The substitute </w:t>
            </w:r>
            <w:r>
              <w:t>changes the type of document</w:t>
            </w:r>
            <w:r>
              <w:t xml:space="preserve"> a</w:t>
            </w:r>
            <w:r>
              <w:t xml:space="preserve">n </w:t>
            </w:r>
            <w:r>
              <w:t xml:space="preserve">entity </w:t>
            </w:r>
            <w:r>
              <w:t xml:space="preserve">is required </w:t>
            </w:r>
            <w:r>
              <w:t xml:space="preserve">to provide </w:t>
            </w:r>
            <w:r>
              <w:t xml:space="preserve">for purposes of obtaining the comptroller's certification of eligibility for the </w:t>
            </w:r>
            <w:r>
              <w:t xml:space="preserve">franchise tax credit from </w:t>
            </w:r>
            <w:r>
              <w:t xml:space="preserve">documentation certified by the </w:t>
            </w:r>
            <w:r>
              <w:t xml:space="preserve">entity's </w:t>
            </w:r>
            <w:r>
              <w:t xml:space="preserve">chief financial officer demonstrating certain information </w:t>
            </w:r>
            <w:r>
              <w:t xml:space="preserve">with respect to </w:t>
            </w:r>
            <w:r>
              <w:t xml:space="preserve">a </w:t>
            </w:r>
            <w:r>
              <w:t xml:space="preserve">qualifying </w:t>
            </w:r>
            <w:r>
              <w:t xml:space="preserve">investment </w:t>
            </w:r>
            <w:r>
              <w:t>to</w:t>
            </w:r>
            <w:r>
              <w:t xml:space="preserve"> an audited cost report prepared by a certified public accountant that includes</w:t>
            </w:r>
            <w:r>
              <w:t xml:space="preserve"> such</w:t>
            </w:r>
            <w:r>
              <w:t xml:space="preserve"> infor</w:t>
            </w:r>
            <w:r>
              <w:t xml:space="preserve">mation. </w:t>
            </w:r>
            <w:r>
              <w:t xml:space="preserve">The substitute specifies that the required information </w:t>
            </w:r>
            <w:r>
              <w:t>regarding</w:t>
            </w:r>
            <w:r>
              <w:t xml:space="preserve"> the date on which the qualifying investment was made is information that includes the date on which each expenditure used to determine the total amount of the qualifying investment wa</w:t>
            </w:r>
            <w:r>
              <w:t>s made.</w:t>
            </w:r>
          </w:p>
          <w:p w:rsidR="00326BB3" w:rsidRDefault="00D1744E" w:rsidP="00356D29">
            <w:pPr>
              <w:jc w:val="both"/>
            </w:pPr>
          </w:p>
          <w:p w:rsidR="00326BB3" w:rsidRDefault="00D1744E" w:rsidP="00356D29">
            <w:pPr>
              <w:jc w:val="both"/>
            </w:pPr>
          </w:p>
          <w:p w:rsidR="00475CB3" w:rsidRPr="00475CB3" w:rsidRDefault="00D1744E" w:rsidP="00356D29">
            <w:pPr>
              <w:jc w:val="both"/>
            </w:pPr>
          </w:p>
        </w:tc>
      </w:tr>
      <w:tr w:rsidR="00F17385" w:rsidTr="00345119">
        <w:tc>
          <w:tcPr>
            <w:tcW w:w="9576" w:type="dxa"/>
          </w:tcPr>
          <w:p w:rsidR="00304EDC" w:rsidRPr="009C1E9A" w:rsidRDefault="00D1744E" w:rsidP="00356D29">
            <w:pPr>
              <w:rPr>
                <w:b/>
                <w:u w:val="single"/>
              </w:rPr>
            </w:pPr>
          </w:p>
        </w:tc>
      </w:tr>
      <w:tr w:rsidR="00F17385" w:rsidTr="00345119">
        <w:tc>
          <w:tcPr>
            <w:tcW w:w="9576" w:type="dxa"/>
          </w:tcPr>
          <w:p w:rsidR="00304EDC" w:rsidRPr="00304EDC" w:rsidRDefault="00D1744E" w:rsidP="00356D29">
            <w:pPr>
              <w:jc w:val="both"/>
            </w:pPr>
          </w:p>
        </w:tc>
      </w:tr>
    </w:tbl>
    <w:p w:rsidR="008423E4" w:rsidRPr="00BE0E75" w:rsidRDefault="00D1744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1744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744E">
      <w:r>
        <w:separator/>
      </w:r>
    </w:p>
  </w:endnote>
  <w:endnote w:type="continuationSeparator" w:id="0">
    <w:p w:rsidR="00000000" w:rsidRDefault="00D1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74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17385" w:rsidTr="009C1E9A">
      <w:trPr>
        <w:cantSplit/>
      </w:trPr>
      <w:tc>
        <w:tcPr>
          <w:tcW w:w="0" w:type="pct"/>
        </w:tcPr>
        <w:p w:rsidR="00137D90" w:rsidRDefault="00D174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1744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1744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174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174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7385" w:rsidTr="009C1E9A">
      <w:trPr>
        <w:cantSplit/>
      </w:trPr>
      <w:tc>
        <w:tcPr>
          <w:tcW w:w="0" w:type="pct"/>
        </w:tcPr>
        <w:p w:rsidR="00EC379B" w:rsidRDefault="00D1744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1744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30566</w:t>
          </w:r>
        </w:p>
      </w:tc>
      <w:tc>
        <w:tcPr>
          <w:tcW w:w="2453" w:type="pct"/>
        </w:tcPr>
        <w:p w:rsidR="00EC379B" w:rsidRDefault="00D174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19.119.1012</w:t>
          </w:r>
          <w:r>
            <w:fldChar w:fldCharType="end"/>
          </w:r>
        </w:p>
      </w:tc>
    </w:tr>
    <w:tr w:rsidR="00F17385" w:rsidTr="009C1E9A">
      <w:trPr>
        <w:cantSplit/>
      </w:trPr>
      <w:tc>
        <w:tcPr>
          <w:tcW w:w="0" w:type="pct"/>
        </w:tcPr>
        <w:p w:rsidR="00EC379B" w:rsidRDefault="00D174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1744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24154</w:t>
          </w:r>
        </w:p>
      </w:tc>
      <w:tc>
        <w:tcPr>
          <w:tcW w:w="2453" w:type="pct"/>
        </w:tcPr>
        <w:p w:rsidR="00EC379B" w:rsidRDefault="00D1744E" w:rsidP="006D504F">
          <w:pPr>
            <w:pStyle w:val="Footer"/>
            <w:rPr>
              <w:rStyle w:val="PageNumber"/>
            </w:rPr>
          </w:pPr>
        </w:p>
        <w:p w:rsidR="00EC379B" w:rsidRDefault="00D1744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1738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1744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1744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1744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74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744E">
      <w:r>
        <w:separator/>
      </w:r>
    </w:p>
  </w:footnote>
  <w:footnote w:type="continuationSeparator" w:id="0">
    <w:p w:rsidR="00000000" w:rsidRDefault="00D1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74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74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174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BE3"/>
    <w:multiLevelType w:val="hybridMultilevel"/>
    <w:tmpl w:val="F828BC0A"/>
    <w:lvl w:ilvl="0" w:tplc="35489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B0D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468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04E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C622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AE55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1A30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125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4C40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E7BEC"/>
    <w:multiLevelType w:val="hybridMultilevel"/>
    <w:tmpl w:val="D626FE32"/>
    <w:lvl w:ilvl="0" w:tplc="ACBAD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D844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E6B7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2E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86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B83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66F9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2EB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616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94945"/>
    <w:multiLevelType w:val="hybridMultilevel"/>
    <w:tmpl w:val="5B427CE6"/>
    <w:lvl w:ilvl="0" w:tplc="7A441D8A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7D2A4BDA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5916F4FE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B54813E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C9B0F050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CAE69900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1FAB642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A2E49058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F04049DA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498A09B7"/>
    <w:multiLevelType w:val="hybridMultilevel"/>
    <w:tmpl w:val="B9603E8A"/>
    <w:lvl w:ilvl="0" w:tplc="6D1A11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002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5617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274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842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A85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E2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8AF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04DE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85"/>
    <w:rsid w:val="00D1744E"/>
    <w:rsid w:val="00F1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A1E2B6-8F06-4753-BB1D-7A3E4FD7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33A6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33A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33A6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3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3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3814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HB02397 (Committee Report (Substituted))</vt:lpstr>
    </vt:vector>
  </TitlesOfParts>
  <Company>State of Texas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30566</dc:subject>
  <dc:creator>State of Texas</dc:creator>
  <dc:description>HB 2397 by Clardy-(H)Ways &amp; Means (Substitute Document Number: 86R 24154)</dc:description>
  <cp:lastModifiedBy>Erin Conway</cp:lastModifiedBy>
  <cp:revision>2</cp:revision>
  <cp:lastPrinted>2019-02-26T20:12:00Z</cp:lastPrinted>
  <dcterms:created xsi:type="dcterms:W3CDTF">2019-05-02T16:58:00Z</dcterms:created>
  <dcterms:modified xsi:type="dcterms:W3CDTF">2019-05-02T16:58:00Z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19.119.1012</vt:lpwstr>
  </property>
</Properties>
</file>