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02BE6" w:rsidTr="00345119">
        <w:tc>
          <w:tcPr>
            <w:tcW w:w="9576" w:type="dxa"/>
            <w:noWrap/>
          </w:tcPr>
          <w:p w:rsidR="008423E4" w:rsidRPr="0022177D" w:rsidRDefault="008C255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C255B" w:rsidP="008423E4">
      <w:pPr>
        <w:jc w:val="center"/>
      </w:pPr>
    </w:p>
    <w:p w:rsidR="008423E4" w:rsidRPr="00B31F0E" w:rsidRDefault="008C255B" w:rsidP="008423E4"/>
    <w:p w:rsidR="008423E4" w:rsidRPr="00742794" w:rsidRDefault="008C255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02BE6" w:rsidTr="00345119">
        <w:tc>
          <w:tcPr>
            <w:tcW w:w="9576" w:type="dxa"/>
          </w:tcPr>
          <w:p w:rsidR="008423E4" w:rsidRPr="00861995" w:rsidRDefault="008C255B" w:rsidP="00345119">
            <w:pPr>
              <w:jc w:val="right"/>
            </w:pPr>
            <w:r>
              <w:t>H.B. 2400</w:t>
            </w:r>
          </w:p>
        </w:tc>
      </w:tr>
      <w:tr w:rsidR="00C02BE6" w:rsidTr="00345119">
        <w:tc>
          <w:tcPr>
            <w:tcW w:w="9576" w:type="dxa"/>
          </w:tcPr>
          <w:p w:rsidR="008423E4" w:rsidRPr="00861995" w:rsidRDefault="008C255B" w:rsidP="005C4263">
            <w:pPr>
              <w:jc w:val="right"/>
            </w:pPr>
            <w:r>
              <w:t xml:space="preserve">By: </w:t>
            </w:r>
            <w:r>
              <w:t>Martinez</w:t>
            </w:r>
          </w:p>
        </w:tc>
      </w:tr>
      <w:tr w:rsidR="00C02BE6" w:rsidTr="00345119">
        <w:tc>
          <w:tcPr>
            <w:tcW w:w="9576" w:type="dxa"/>
          </w:tcPr>
          <w:p w:rsidR="008423E4" w:rsidRPr="00861995" w:rsidRDefault="008C255B" w:rsidP="00345119">
            <w:pPr>
              <w:jc w:val="right"/>
            </w:pPr>
            <w:r>
              <w:t>Public Health</w:t>
            </w:r>
          </w:p>
        </w:tc>
      </w:tr>
      <w:tr w:rsidR="00C02BE6" w:rsidTr="00345119">
        <w:tc>
          <w:tcPr>
            <w:tcW w:w="9576" w:type="dxa"/>
          </w:tcPr>
          <w:p w:rsidR="008423E4" w:rsidRDefault="008C255B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8C255B" w:rsidP="008423E4">
      <w:pPr>
        <w:tabs>
          <w:tab w:val="right" w:pos="9360"/>
        </w:tabs>
      </w:pPr>
    </w:p>
    <w:p w:rsidR="008423E4" w:rsidRDefault="008C255B" w:rsidP="008423E4"/>
    <w:p w:rsidR="008423E4" w:rsidRDefault="008C255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02BE6" w:rsidTr="00345119">
        <w:tc>
          <w:tcPr>
            <w:tcW w:w="9576" w:type="dxa"/>
          </w:tcPr>
          <w:p w:rsidR="008423E4" w:rsidRPr="00A8133F" w:rsidRDefault="008C255B" w:rsidP="005E72B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C255B" w:rsidP="005E72BF"/>
          <w:p w:rsidR="008423E4" w:rsidRDefault="008C255B" w:rsidP="005E72BF">
            <w:pPr>
              <w:pStyle w:val="Header"/>
              <w:jc w:val="both"/>
            </w:pPr>
            <w:r>
              <w:t>Concerns have been raised regarding the manner in which</w:t>
            </w:r>
            <w:r>
              <w:t xml:space="preserve"> disagreements between first responder organizations and emergency medical services providers</w:t>
            </w:r>
            <w:r>
              <w:t xml:space="preserve"> regarding treatment protocols or equipment are handled</w:t>
            </w:r>
            <w:r>
              <w:t xml:space="preserve">. H.B. 2400 seeks to improve dispute resolution among </w:t>
            </w:r>
            <w:r>
              <w:t>organizations and providers by setting out certain add</w:t>
            </w:r>
            <w:r>
              <w:t>itional application requirements for first responder organizations</w:t>
            </w:r>
            <w:r>
              <w:t>.</w:t>
            </w:r>
          </w:p>
          <w:p w:rsidR="008423E4" w:rsidRPr="00E26B13" w:rsidRDefault="008C255B" w:rsidP="005E72BF">
            <w:pPr>
              <w:rPr>
                <w:b/>
              </w:rPr>
            </w:pPr>
          </w:p>
        </w:tc>
      </w:tr>
      <w:tr w:rsidR="00C02BE6" w:rsidTr="00345119">
        <w:tc>
          <w:tcPr>
            <w:tcW w:w="9576" w:type="dxa"/>
          </w:tcPr>
          <w:p w:rsidR="0017725B" w:rsidRDefault="008C255B" w:rsidP="005E72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C255B" w:rsidP="005E72BF">
            <w:pPr>
              <w:rPr>
                <w:b/>
                <w:u w:val="single"/>
              </w:rPr>
            </w:pPr>
          </w:p>
          <w:p w:rsidR="00B4632A" w:rsidRPr="00B4632A" w:rsidRDefault="008C255B" w:rsidP="005E72BF">
            <w:pPr>
              <w:jc w:val="both"/>
            </w:pPr>
            <w:r>
              <w:t>It is the committee's opinion that this bill does not expressly create a criminal offense, increase the punishment for an existing criminal offense or category o</w:t>
            </w:r>
            <w:r>
              <w:t>f offenses, or change the eligibility of a person for community supervision, parole, or mandatory supervision.</w:t>
            </w:r>
          </w:p>
          <w:p w:rsidR="0017725B" w:rsidRPr="0017725B" w:rsidRDefault="008C255B" w:rsidP="005E72BF">
            <w:pPr>
              <w:rPr>
                <w:b/>
                <w:u w:val="single"/>
              </w:rPr>
            </w:pPr>
          </w:p>
        </w:tc>
      </w:tr>
      <w:tr w:rsidR="00C02BE6" w:rsidTr="00345119">
        <w:tc>
          <w:tcPr>
            <w:tcW w:w="9576" w:type="dxa"/>
          </w:tcPr>
          <w:p w:rsidR="008423E4" w:rsidRPr="00A8133F" w:rsidRDefault="008C255B" w:rsidP="005E72B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C255B" w:rsidP="005E72BF"/>
          <w:p w:rsidR="00B4632A" w:rsidRDefault="008C255B" w:rsidP="005E72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executive commissioner of the Health</w:t>
            </w:r>
            <w:r>
              <w:t xml:space="preserve"> and Human Services Commission in SECTION 4 of this bill.</w:t>
            </w:r>
          </w:p>
          <w:p w:rsidR="008423E4" w:rsidRPr="00E21FDC" w:rsidRDefault="008C255B" w:rsidP="005E72BF">
            <w:pPr>
              <w:rPr>
                <w:b/>
              </w:rPr>
            </w:pPr>
          </w:p>
        </w:tc>
      </w:tr>
      <w:tr w:rsidR="00C02BE6" w:rsidTr="00345119">
        <w:tc>
          <w:tcPr>
            <w:tcW w:w="9576" w:type="dxa"/>
          </w:tcPr>
          <w:p w:rsidR="008423E4" w:rsidRPr="00A8133F" w:rsidRDefault="008C255B" w:rsidP="005E72B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C255B" w:rsidP="005E72BF"/>
          <w:p w:rsidR="002C4A0B" w:rsidRDefault="008C255B" w:rsidP="005E72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2400 amends the Health and Safety Code to require each first responder organization, to the extent the rules adopted under the </w:t>
            </w:r>
            <w:r>
              <w:t xml:space="preserve">Emergency Health Care Act </w:t>
            </w:r>
            <w:r>
              <w:t xml:space="preserve">require a first responder </w:t>
            </w:r>
            <w:r>
              <w:t>organization to submit an application for a license</w:t>
            </w:r>
            <w:r>
              <w:t xml:space="preserve">, to include </w:t>
            </w:r>
            <w:r>
              <w:t xml:space="preserve">the following </w:t>
            </w:r>
            <w:r>
              <w:t xml:space="preserve">with an application for an initial or renewal </w:t>
            </w:r>
            <w:r>
              <w:t xml:space="preserve">first responder organization </w:t>
            </w:r>
            <w:r>
              <w:t>license</w:t>
            </w:r>
            <w:r>
              <w:t>:</w:t>
            </w:r>
          </w:p>
          <w:p w:rsidR="002C4A0B" w:rsidRDefault="008C255B" w:rsidP="005E72B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for a first responder organization affiliated with an emergency medical services provider:</w:t>
            </w:r>
          </w:p>
          <w:p w:rsidR="002C4A0B" w:rsidRDefault="008C255B" w:rsidP="005E72BF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not</w:t>
            </w:r>
            <w:r>
              <w:t>ice of any disagreement regarding treatment protocols or equipment between the organization's medical director and the provider's medical director</w:t>
            </w:r>
            <w:r>
              <w:t xml:space="preserve">; </w:t>
            </w:r>
            <w:r>
              <w:t>and</w:t>
            </w:r>
          </w:p>
          <w:p w:rsidR="002C4A0B" w:rsidRDefault="008C255B" w:rsidP="005E72B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for a first responder organization not affiliated with an emergency medical services provider:</w:t>
            </w:r>
          </w:p>
          <w:p w:rsidR="002C4A0B" w:rsidRDefault="008C255B" w:rsidP="005E72BF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proof tha</w:t>
            </w:r>
            <w:r>
              <w:t>t the organization's medical director provided a copy of the organization's treatment protocols to the medical director of each emergency medical services provider that provides patient transport services for patients treated by the organization's personne</w:t>
            </w:r>
            <w:r>
              <w:t>l and that has an agreement with the organization</w:t>
            </w:r>
            <w:r>
              <w:t xml:space="preserve">; </w:t>
            </w:r>
            <w:r>
              <w:t xml:space="preserve">and </w:t>
            </w:r>
          </w:p>
          <w:p w:rsidR="002C4A0B" w:rsidRDefault="008C255B" w:rsidP="005E72BF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notice of any disagreement regarding treatment protocols or equipment between the first responder organization's medical director and the medical director of each emergency medical services provider t</w:t>
            </w:r>
            <w:r>
              <w:t xml:space="preserve">hat has an agreement with the organization. </w:t>
            </w:r>
          </w:p>
          <w:p w:rsidR="00E54018" w:rsidRDefault="008C255B" w:rsidP="005E72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8C255B" w:rsidP="005E72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2400</w:t>
            </w:r>
            <w:r>
              <w:t xml:space="preserve"> </w:t>
            </w:r>
            <w:r>
              <w:t>prohibits the executive commissioner of the Health and Human Services Commission from</w:t>
            </w:r>
            <w:r w:rsidRPr="002C4A0B">
              <w:t xml:space="preserve"> requir</w:t>
            </w:r>
            <w:r>
              <w:t>ing</w:t>
            </w:r>
            <w:r w:rsidRPr="002C4A0B">
              <w:t xml:space="preserve"> a first responder organization to obtain the approval of an emergency medical services provider's medica</w:t>
            </w:r>
            <w:r w:rsidRPr="002C4A0B">
              <w:t>l director regarding treatment protocols or equipment for issuance of an initial or renewal license.</w:t>
            </w:r>
            <w:r>
              <w:t xml:space="preserve"> </w:t>
            </w:r>
            <w:r>
              <w:t xml:space="preserve">The bill requires the executive commissioner to adopt any rules necessary to implement the bill's provisions relating to </w:t>
            </w:r>
            <w:r>
              <w:t xml:space="preserve">the </w:t>
            </w:r>
            <w:r>
              <w:t>additional application require</w:t>
            </w:r>
            <w:r>
              <w:t xml:space="preserve">ments. </w:t>
            </w:r>
          </w:p>
          <w:p w:rsidR="005F07DF" w:rsidRDefault="008C255B" w:rsidP="005E72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5F07DF" w:rsidRDefault="008C255B" w:rsidP="005E72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2400 requires the immediate on-scene care to ill or injured persons provided by a group or association of certified medical services personnel to be under the direction of a medical director </w:t>
            </w:r>
            <w:r>
              <w:t xml:space="preserve">in order </w:t>
            </w:r>
            <w:r>
              <w:t xml:space="preserve">for the group or association to be considered a first responder organization for purposes of </w:t>
            </w:r>
            <w:r w:rsidRPr="005F07DF">
              <w:t>the Emergency Health Care Act</w:t>
            </w:r>
            <w:r>
              <w:t>.</w:t>
            </w:r>
          </w:p>
          <w:p w:rsidR="008423E4" w:rsidRPr="00835628" w:rsidRDefault="008C255B" w:rsidP="005E72BF">
            <w:pPr>
              <w:rPr>
                <w:b/>
              </w:rPr>
            </w:pPr>
          </w:p>
        </w:tc>
      </w:tr>
      <w:tr w:rsidR="00C02BE6" w:rsidTr="00345119">
        <w:tc>
          <w:tcPr>
            <w:tcW w:w="9576" w:type="dxa"/>
          </w:tcPr>
          <w:p w:rsidR="008423E4" w:rsidRPr="00A8133F" w:rsidRDefault="008C255B" w:rsidP="005E72B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C255B" w:rsidP="005E72BF"/>
          <w:p w:rsidR="008423E4" w:rsidRPr="003624F2" w:rsidRDefault="008C255B" w:rsidP="005E72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8C255B" w:rsidP="005E72BF">
            <w:pPr>
              <w:rPr>
                <w:b/>
              </w:rPr>
            </w:pPr>
          </w:p>
        </w:tc>
      </w:tr>
    </w:tbl>
    <w:p w:rsidR="008423E4" w:rsidRPr="00BE0E75" w:rsidRDefault="008C255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C255B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255B">
      <w:r>
        <w:separator/>
      </w:r>
    </w:p>
  </w:endnote>
  <w:endnote w:type="continuationSeparator" w:id="0">
    <w:p w:rsidR="00000000" w:rsidRDefault="008C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C2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02BE6" w:rsidTr="009C1E9A">
      <w:trPr>
        <w:cantSplit/>
      </w:trPr>
      <w:tc>
        <w:tcPr>
          <w:tcW w:w="0" w:type="pct"/>
        </w:tcPr>
        <w:p w:rsidR="00137D90" w:rsidRDefault="008C255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C255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C255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C255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C25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2BE6" w:rsidTr="009C1E9A">
      <w:trPr>
        <w:cantSplit/>
      </w:trPr>
      <w:tc>
        <w:tcPr>
          <w:tcW w:w="0" w:type="pct"/>
        </w:tcPr>
        <w:p w:rsidR="00EC379B" w:rsidRDefault="008C255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C255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25461</w:t>
          </w:r>
        </w:p>
      </w:tc>
      <w:tc>
        <w:tcPr>
          <w:tcW w:w="2453" w:type="pct"/>
        </w:tcPr>
        <w:p w:rsidR="00EC379B" w:rsidRDefault="008C25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19.97.929</w:t>
          </w:r>
          <w:r>
            <w:fldChar w:fldCharType="end"/>
          </w:r>
        </w:p>
      </w:tc>
    </w:tr>
    <w:tr w:rsidR="00C02BE6" w:rsidTr="009C1E9A">
      <w:trPr>
        <w:cantSplit/>
      </w:trPr>
      <w:tc>
        <w:tcPr>
          <w:tcW w:w="0" w:type="pct"/>
        </w:tcPr>
        <w:p w:rsidR="00EC379B" w:rsidRDefault="008C255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C255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8C255B" w:rsidP="006D504F">
          <w:pPr>
            <w:pStyle w:val="Footer"/>
            <w:rPr>
              <w:rStyle w:val="PageNumber"/>
            </w:rPr>
          </w:pPr>
        </w:p>
        <w:p w:rsidR="00EC379B" w:rsidRDefault="008C25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2BE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C255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8C255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C255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C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255B">
      <w:r>
        <w:separator/>
      </w:r>
    </w:p>
  </w:footnote>
  <w:footnote w:type="continuationSeparator" w:id="0">
    <w:p w:rsidR="00000000" w:rsidRDefault="008C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C2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C25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C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4EA5"/>
    <w:multiLevelType w:val="hybridMultilevel"/>
    <w:tmpl w:val="B8A87DE6"/>
    <w:lvl w:ilvl="0" w:tplc="B2F63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C9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6C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6F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22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64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2D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07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1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E6"/>
    <w:rsid w:val="008C255B"/>
    <w:rsid w:val="00C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1631F3-C25A-4B9D-AD12-1B0C76B9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4A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4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4A6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4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4A68"/>
    <w:rPr>
      <w:b/>
      <w:bCs/>
    </w:rPr>
  </w:style>
  <w:style w:type="paragraph" w:styleId="Revision">
    <w:name w:val="Revision"/>
    <w:hidden/>
    <w:uiPriority w:val="99"/>
    <w:semiHidden/>
    <w:rsid w:val="002C4A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2639</Characters>
  <Application>Microsoft Office Word</Application>
  <DocSecurity>4</DocSecurity>
  <Lines>67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HB02400 (Committee Report (Unamended))</vt:lpstr>
    </vt:vector>
  </TitlesOfParts>
  <Company>State of Texas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25461</dc:subject>
  <dc:creator>State of Texas</dc:creator>
  <dc:description>HB 2400 by Martinez-(H)Public Health</dc:description>
  <cp:lastModifiedBy>Laura Ramsay</cp:lastModifiedBy>
  <cp:revision>2</cp:revision>
  <cp:lastPrinted>2003-11-26T17:21:00Z</cp:lastPrinted>
  <dcterms:created xsi:type="dcterms:W3CDTF">2019-04-16T17:23:00Z</dcterms:created>
  <dcterms:modified xsi:type="dcterms:W3CDTF">2019-04-16T17:23:00Z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19.97.929</vt:lpwstr>
  </property>
</Properties>
</file>