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2D66" w:rsidTr="00F85D29">
        <w:tc>
          <w:tcPr>
            <w:tcW w:w="9576" w:type="dxa"/>
            <w:noWrap/>
          </w:tcPr>
          <w:p w:rsidR="008423E4" w:rsidRPr="0022177D" w:rsidRDefault="00A36489" w:rsidP="00F85D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6489" w:rsidP="008423E4">
      <w:pPr>
        <w:jc w:val="center"/>
      </w:pPr>
    </w:p>
    <w:p w:rsidR="008423E4" w:rsidRPr="00B31F0E" w:rsidRDefault="00A36489" w:rsidP="008423E4"/>
    <w:p w:rsidR="008423E4" w:rsidRPr="00742794" w:rsidRDefault="00A364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2D66" w:rsidTr="00F85D29">
        <w:tc>
          <w:tcPr>
            <w:tcW w:w="9576" w:type="dxa"/>
          </w:tcPr>
          <w:p w:rsidR="008423E4" w:rsidRPr="00861995" w:rsidRDefault="00A36489" w:rsidP="00F85D29">
            <w:pPr>
              <w:jc w:val="right"/>
            </w:pPr>
            <w:r>
              <w:t>C.S.H.B. 2403</w:t>
            </w:r>
          </w:p>
        </w:tc>
      </w:tr>
      <w:tr w:rsidR="004A2D66" w:rsidTr="00F85D29">
        <w:tc>
          <w:tcPr>
            <w:tcW w:w="9576" w:type="dxa"/>
          </w:tcPr>
          <w:p w:rsidR="008423E4" w:rsidRPr="00861995" w:rsidRDefault="00A36489" w:rsidP="00D74A07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4A2D66" w:rsidTr="00F85D29">
        <w:tc>
          <w:tcPr>
            <w:tcW w:w="9576" w:type="dxa"/>
          </w:tcPr>
          <w:p w:rsidR="008423E4" w:rsidRPr="00861995" w:rsidRDefault="00A36489" w:rsidP="00F85D29">
            <w:pPr>
              <w:jc w:val="right"/>
            </w:pPr>
            <w:r>
              <w:t>Licensing &amp; Administrative Procedures</w:t>
            </w:r>
          </w:p>
        </w:tc>
      </w:tr>
      <w:tr w:rsidR="004A2D66" w:rsidTr="00F85D29">
        <w:tc>
          <w:tcPr>
            <w:tcW w:w="9576" w:type="dxa"/>
          </w:tcPr>
          <w:p w:rsidR="008423E4" w:rsidRDefault="00A36489" w:rsidP="00F85D2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36489" w:rsidP="008423E4">
      <w:pPr>
        <w:tabs>
          <w:tab w:val="right" w:pos="9360"/>
        </w:tabs>
      </w:pPr>
    </w:p>
    <w:p w:rsidR="008423E4" w:rsidRDefault="00A36489" w:rsidP="008423E4"/>
    <w:p w:rsidR="008423E4" w:rsidRDefault="00A364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2D66" w:rsidTr="00F85D29">
        <w:tc>
          <w:tcPr>
            <w:tcW w:w="9576" w:type="dxa"/>
          </w:tcPr>
          <w:p w:rsidR="008423E4" w:rsidRPr="00A8133F" w:rsidRDefault="00A36489" w:rsidP="0099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6489" w:rsidP="009913D2"/>
          <w:p w:rsidR="008423E4" w:rsidRDefault="00A36489" w:rsidP="009913D2">
            <w:pPr>
              <w:pStyle w:val="Header"/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residential service contracts</w:t>
            </w:r>
            <w:r>
              <w:t>, also known as</w:t>
            </w:r>
            <w:r>
              <w:t xml:space="preserve"> home warranties</w:t>
            </w:r>
            <w:r>
              <w:t>,</w:t>
            </w:r>
            <w:r>
              <w:t xml:space="preserve"> provide one</w:t>
            </w:r>
            <w:r>
              <w:noBreakHyphen/>
            </w:r>
            <w:r>
              <w:t xml:space="preserve">stop-shop </w:t>
            </w:r>
            <w:r>
              <w:t>coverage to homeowners for the repair or replacement costs of major systems and other components of a home</w:t>
            </w:r>
            <w:r>
              <w:t>. However, reports indicate</w:t>
            </w:r>
            <w:r>
              <w:t xml:space="preserve"> that the residential service contract industry has evolved significantly since the Texas Real Estate Commission began regu</w:t>
            </w:r>
            <w:r>
              <w:t>lating residential service companies that provide such services,</w:t>
            </w:r>
            <w:r>
              <w:t xml:space="preserve"> and</w:t>
            </w:r>
            <w:r>
              <w:t xml:space="preserve"> </w:t>
            </w:r>
            <w:r>
              <w:t xml:space="preserve">there have been calls </w:t>
            </w:r>
            <w:r>
              <w:t xml:space="preserve">to update various outdated provisions of </w:t>
            </w:r>
            <w:r>
              <w:t>state law governing these companies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2403</w:t>
            </w:r>
            <w:r>
              <w:t xml:space="preserve"> seeks to </w:t>
            </w:r>
            <w:r>
              <w:t xml:space="preserve">update </w:t>
            </w:r>
            <w:r>
              <w:t>the Residential Service Company Act.</w:t>
            </w:r>
            <w:r>
              <w:t xml:space="preserve"> </w:t>
            </w:r>
          </w:p>
          <w:p w:rsidR="008423E4" w:rsidRPr="00E26B13" w:rsidRDefault="00A36489" w:rsidP="009913D2">
            <w:pPr>
              <w:rPr>
                <w:b/>
              </w:rPr>
            </w:pPr>
          </w:p>
        </w:tc>
      </w:tr>
      <w:tr w:rsidR="004A2D66" w:rsidTr="00F85D29">
        <w:tc>
          <w:tcPr>
            <w:tcW w:w="9576" w:type="dxa"/>
          </w:tcPr>
          <w:p w:rsidR="0017725B" w:rsidRDefault="00A36489" w:rsidP="009913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A36489" w:rsidP="009913D2">
            <w:pPr>
              <w:rPr>
                <w:b/>
                <w:u w:val="single"/>
              </w:rPr>
            </w:pPr>
          </w:p>
          <w:p w:rsidR="009D430E" w:rsidRPr="009D430E" w:rsidRDefault="00A36489" w:rsidP="009913D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A36489" w:rsidP="009913D2">
            <w:pPr>
              <w:rPr>
                <w:b/>
                <w:u w:val="single"/>
              </w:rPr>
            </w:pPr>
          </w:p>
        </w:tc>
      </w:tr>
      <w:tr w:rsidR="004A2D66" w:rsidTr="00F85D29">
        <w:tc>
          <w:tcPr>
            <w:tcW w:w="9576" w:type="dxa"/>
          </w:tcPr>
          <w:p w:rsidR="008423E4" w:rsidRPr="00A8133F" w:rsidRDefault="00A36489" w:rsidP="0099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6489" w:rsidP="009913D2"/>
          <w:p w:rsidR="009D430E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36489" w:rsidP="009913D2">
            <w:pPr>
              <w:rPr>
                <w:b/>
              </w:rPr>
            </w:pPr>
          </w:p>
        </w:tc>
      </w:tr>
      <w:tr w:rsidR="004A2D66" w:rsidTr="00F85D29">
        <w:tc>
          <w:tcPr>
            <w:tcW w:w="9576" w:type="dxa"/>
          </w:tcPr>
          <w:p w:rsidR="008423E4" w:rsidRPr="00A8133F" w:rsidRDefault="00A36489" w:rsidP="0099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6489" w:rsidP="009913D2"/>
          <w:p w:rsidR="00C73FEB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2403 amends the Occupations Code to </w:t>
            </w:r>
            <w:r>
              <w:t xml:space="preserve">remove the prohibition </w:t>
            </w:r>
            <w:r>
              <w:t xml:space="preserve">against </w:t>
            </w:r>
            <w:r>
              <w:t>a person selling, offering to sell, arranging or soliciting the sale of, or receiving an application for a residential service contract</w:t>
            </w:r>
            <w:r>
              <w:t xml:space="preserve"> unless the person meets certain eligibility requ</w:t>
            </w:r>
            <w:r>
              <w:t xml:space="preserve">irements and </w:t>
            </w:r>
            <w:r w:rsidRPr="003A1D08">
              <w:t>the contract is issued by a residential service company</w:t>
            </w:r>
            <w:r>
              <w:t xml:space="preserve"> licensed under </w:t>
            </w:r>
            <w:r w:rsidRPr="003A1DA6">
              <w:t>the Residential Service Company Act</w:t>
            </w:r>
            <w:r>
              <w:t>. The bill</w:t>
            </w:r>
            <w:r>
              <w:t xml:space="preserve"> exempts</w:t>
            </w:r>
            <w:r>
              <w:t xml:space="preserve"> </w:t>
            </w:r>
            <w:r>
              <w:t>a person</w:t>
            </w:r>
            <w:r>
              <w:t xml:space="preserve"> </w:t>
            </w:r>
            <w:r>
              <w:t>who administers, issues, makes, provides, sells, markets, or offers to sell a residential service contract fr</w:t>
            </w:r>
            <w:r>
              <w:t xml:space="preserve">om any </w:t>
            </w:r>
            <w:r>
              <w:t xml:space="preserve">state </w:t>
            </w:r>
            <w:r>
              <w:t>licensing requirement</w:t>
            </w:r>
            <w:r>
              <w:t>s</w:t>
            </w:r>
            <w:r>
              <w:t xml:space="preserve"> with respect to </w:t>
            </w:r>
            <w:r>
              <w:t>those activities</w:t>
            </w:r>
            <w:r>
              <w:t>,</w:t>
            </w:r>
            <w:r>
              <w:t xml:space="preserve"> </w:t>
            </w:r>
            <w:r>
              <w:t>except for</w:t>
            </w:r>
            <w:r>
              <w:t xml:space="preserve"> the </w:t>
            </w:r>
            <w:r>
              <w:t>licensing requirement</w:t>
            </w:r>
            <w:r>
              <w:t xml:space="preserve"> </w:t>
            </w:r>
            <w:r>
              <w:t>under the act</w:t>
            </w:r>
            <w:r>
              <w:t xml:space="preserve"> for persons who issue a residential service contract</w:t>
            </w:r>
            <w:r>
              <w:t>.</w:t>
            </w:r>
            <w:r>
              <w:t xml:space="preserve"> The bill repeals the</w:t>
            </w:r>
            <w:r>
              <w:t xml:space="preserve"> </w:t>
            </w:r>
            <w:r w:rsidRPr="00F00A2C">
              <w:t>prohibit</w:t>
            </w:r>
            <w:r>
              <w:t>ion against</w:t>
            </w:r>
            <w:r w:rsidRPr="00F00A2C">
              <w:t xml:space="preserve"> a person using the phrase "residential s</w:t>
            </w:r>
            <w:r w:rsidRPr="00F00A2C">
              <w:t>ervice company" in the course of engaging in business unless the person meets certain requirements</w:t>
            </w:r>
            <w:r>
              <w:t>.</w:t>
            </w:r>
            <w:r w:rsidRPr="00F00A2C">
              <w:t xml:space="preserve"> </w:t>
            </w:r>
            <w:r>
              <w:t xml:space="preserve">The bill changes the </w:t>
            </w:r>
            <w:r>
              <w:t xml:space="preserve">calculation </w:t>
            </w:r>
            <w:r>
              <w:t>used to determine</w:t>
            </w:r>
            <w:r>
              <w:t xml:space="preserve"> </w:t>
            </w:r>
            <w:r>
              <w:t xml:space="preserve">the amount </w:t>
            </w:r>
            <w:r>
              <w:t>of</w:t>
            </w:r>
            <w:r>
              <w:t xml:space="preserve"> </w:t>
            </w:r>
            <w:r>
              <w:t>funded</w:t>
            </w:r>
            <w:r>
              <w:t xml:space="preserve"> reserve</w:t>
            </w:r>
            <w:r>
              <w:t xml:space="preserve"> </w:t>
            </w:r>
            <w:r>
              <w:t>a residential service company is required to maintain against its liability</w:t>
            </w:r>
            <w:r>
              <w:t>.</w:t>
            </w:r>
          </w:p>
          <w:p w:rsidR="00A937DB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85D29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2403 </w:t>
            </w:r>
            <w:r>
              <w:t>requires</w:t>
            </w:r>
            <w:r>
              <w:t xml:space="preserve"> t</w:t>
            </w:r>
            <w:r>
              <w:t xml:space="preserve">he report </w:t>
            </w:r>
            <w:r w:rsidRPr="00CC5A90">
              <w:t>each residential service company file</w:t>
            </w:r>
            <w:r>
              <w:t>s</w:t>
            </w:r>
            <w:r w:rsidRPr="00CC5A90">
              <w:t xml:space="preserve"> with </w:t>
            </w:r>
            <w:r>
              <w:t xml:space="preserve">the </w:t>
            </w:r>
            <w:r w:rsidRPr="00CC5A90">
              <w:t>Texas Real Estate Commission (TREC)</w:t>
            </w:r>
            <w:r>
              <w:t xml:space="preserve"> </w:t>
            </w:r>
            <w:r>
              <w:t>to</w:t>
            </w:r>
            <w:r>
              <w:t xml:space="preserve"> include </w:t>
            </w:r>
            <w:r w:rsidRPr="00251CA0">
              <w:t xml:space="preserve">financial statements of the company certified as accurate by </w:t>
            </w:r>
            <w:r>
              <w:t>at least two of the residential service company's principal offi</w:t>
            </w:r>
            <w:r>
              <w:t xml:space="preserve">cers </w:t>
            </w:r>
            <w:r>
              <w:t xml:space="preserve">without regard to whether </w:t>
            </w:r>
            <w:r>
              <w:t xml:space="preserve">the residential service company uses a reimbursement </w:t>
            </w:r>
            <w:r>
              <w:t xml:space="preserve">insurance </w:t>
            </w:r>
            <w:r>
              <w:t>policy to insure its outstanding residential service contracts written in</w:t>
            </w:r>
            <w:r>
              <w:t xml:space="preserve"> Texas</w:t>
            </w:r>
            <w:r>
              <w:t xml:space="preserve">. </w:t>
            </w:r>
            <w:r>
              <w:t xml:space="preserve">The bill </w:t>
            </w:r>
            <w:r>
              <w:t xml:space="preserve">revises provisions relating to </w:t>
            </w:r>
            <w:r>
              <w:t>the schedule of charges</w:t>
            </w:r>
            <w:r>
              <w:t xml:space="preserve"> fil</w:t>
            </w:r>
            <w:r>
              <w:t>ed</w:t>
            </w:r>
            <w:r>
              <w:t xml:space="preserve"> by a reside</w:t>
            </w:r>
            <w:r>
              <w:t xml:space="preserve">ntial service company </w:t>
            </w:r>
            <w:r w:rsidRPr="0056368B">
              <w:t>for services covered under a residential service contract</w:t>
            </w:r>
            <w:r>
              <w:t xml:space="preserve"> by authorizing a filing by such a company </w:t>
            </w:r>
            <w:r>
              <w:t xml:space="preserve">that maintains </w:t>
            </w:r>
            <w:r>
              <w:t>a certain</w:t>
            </w:r>
            <w:r>
              <w:t xml:space="preserve"> required</w:t>
            </w:r>
            <w:r>
              <w:t xml:space="preserve"> reserve to be implemented beginning on the later of the date the filing is made or </w:t>
            </w:r>
            <w:r>
              <w:t xml:space="preserve">the </w:t>
            </w:r>
            <w:r>
              <w:t>TREC receives</w:t>
            </w:r>
            <w:r>
              <w:t xml:space="preserve"> any associated filing fee</w:t>
            </w:r>
            <w:r>
              <w:t>;</w:t>
            </w:r>
            <w:r>
              <w:t xml:space="preserve"> repeal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requirement for</w:t>
            </w:r>
            <w:r>
              <w:t xml:space="preserve"> the</w:t>
            </w:r>
            <w:r>
              <w:t xml:space="preserve"> TREC to approve a filing of a schedule of charges if </w:t>
            </w:r>
            <w:r>
              <w:t xml:space="preserve">the </w:t>
            </w:r>
            <w:r>
              <w:t>TREC determines that the filing is reasonably related to the amount, term, and conditions of the contract to which the filing applies</w:t>
            </w:r>
            <w:r>
              <w:t>; an</w:t>
            </w:r>
            <w:r>
              <w:t>d</w:t>
            </w:r>
            <w:r>
              <w:t xml:space="preserve"> </w:t>
            </w:r>
            <w:r>
              <w:t>authorizing</w:t>
            </w:r>
            <w:r>
              <w:t xml:space="preserve"> </w:t>
            </w:r>
            <w:r>
              <w:t xml:space="preserve">the </w:t>
            </w:r>
            <w:r>
              <w:t xml:space="preserve">TREC, if a filing is disapproved, to order the residential service company to pay a refund. </w:t>
            </w:r>
            <w:r>
              <w:t xml:space="preserve">The bill </w:t>
            </w:r>
            <w:r>
              <w:t xml:space="preserve">requires </w:t>
            </w:r>
            <w:r>
              <w:t xml:space="preserve">a sales contract </w:t>
            </w:r>
            <w:r>
              <w:t>between</w:t>
            </w:r>
            <w:r w:rsidRPr="00C05168">
              <w:t xml:space="preserve"> a seller</w:t>
            </w:r>
            <w:r>
              <w:t xml:space="preserve"> and buyer</w:t>
            </w:r>
            <w:r w:rsidRPr="00C05168">
              <w:t xml:space="preserve"> of a residential property </w:t>
            </w:r>
            <w:r>
              <w:t>to</w:t>
            </w:r>
            <w:r>
              <w:t xml:space="preserve"> state that the purchase of a residential service contract is optional and that the buyer and seller of a residential property may negotiate the amount paid toward, the coverage provided by, and the provider of a residential service contract.</w:t>
            </w:r>
          </w:p>
          <w:p w:rsidR="00F0319F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2921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240</w:t>
            </w:r>
            <w:r>
              <w:t xml:space="preserve">3 authorizes </w:t>
            </w:r>
            <w:r>
              <w:t xml:space="preserve">the </w:t>
            </w:r>
            <w:r>
              <w:t>TREC to discipline a residential service company if the company takes any of the following actions:</w:t>
            </w:r>
          </w:p>
          <w:p w:rsidR="00262921" w:rsidRDefault="00A36489" w:rsidP="009913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fails to pay a fee for filing </w:t>
            </w:r>
            <w:r>
              <w:t>the</w:t>
            </w:r>
            <w:r>
              <w:t xml:space="preserve"> report </w:t>
            </w:r>
            <w:r w:rsidRPr="00884D23">
              <w:t xml:space="preserve">each residential service company files </w:t>
            </w:r>
            <w:r>
              <w:t>with the TREC;</w:t>
            </w:r>
          </w:p>
          <w:p w:rsidR="00262921" w:rsidRDefault="00A36489" w:rsidP="009913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provides false or misleading information to </w:t>
            </w:r>
            <w:r>
              <w:t>the TREC on such a report or on a filing of a schedule of charges; or</w:t>
            </w:r>
          </w:p>
          <w:p w:rsidR="00262921" w:rsidRDefault="00A36489" w:rsidP="009913D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fails to provide, within a reasonable time, information requested by the TREC that relates to </w:t>
            </w:r>
            <w:r>
              <w:t>a formal</w:t>
            </w:r>
            <w:r>
              <w:t xml:space="preserve"> or informal complaint to the TREC.</w:t>
            </w:r>
          </w:p>
          <w:p w:rsidR="009D430E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033A8" w:rsidRDefault="00A36489" w:rsidP="009913D2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C.S.</w:t>
            </w:r>
            <w:r>
              <w:t xml:space="preserve">H.B. 2403 repeals </w:t>
            </w:r>
            <w:r w:rsidRPr="00E55545">
              <w:t xml:space="preserve">Sections 1303.101(c) and </w:t>
            </w:r>
            <w:r w:rsidRPr="00E55545">
              <w:t>1303.253(d),</w:t>
            </w:r>
            <w:r>
              <w:t xml:space="preserve"> </w:t>
            </w:r>
            <w:r>
              <w:t>Occupations Code</w:t>
            </w:r>
            <w:r>
              <w:t>.</w:t>
            </w:r>
          </w:p>
          <w:p w:rsidR="008423E4" w:rsidRPr="00835628" w:rsidRDefault="00A36489" w:rsidP="009913D2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</w:p>
        </w:tc>
      </w:tr>
      <w:tr w:rsidR="004A2D66" w:rsidTr="00F85D29">
        <w:tc>
          <w:tcPr>
            <w:tcW w:w="9576" w:type="dxa"/>
          </w:tcPr>
          <w:p w:rsidR="008423E4" w:rsidRPr="00A8133F" w:rsidRDefault="00A36489" w:rsidP="009913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6489" w:rsidP="009913D2"/>
          <w:p w:rsidR="008423E4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6A240F" w:rsidRPr="00233FDB" w:rsidRDefault="00A36489" w:rsidP="009913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A2D66" w:rsidTr="00F85D29">
        <w:tc>
          <w:tcPr>
            <w:tcW w:w="9576" w:type="dxa"/>
          </w:tcPr>
          <w:p w:rsidR="00D74A07" w:rsidRDefault="00A36489" w:rsidP="009913D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92691" w:rsidRDefault="00A36489" w:rsidP="009913D2">
            <w:pPr>
              <w:jc w:val="both"/>
            </w:pPr>
          </w:p>
          <w:p w:rsidR="00692691" w:rsidRDefault="00A36489" w:rsidP="009913D2">
            <w:pPr>
              <w:jc w:val="both"/>
            </w:pPr>
            <w:r>
              <w:t>While C.S.H.B. 2403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:rsidR="00692691" w:rsidRDefault="00A36489" w:rsidP="009913D2">
            <w:pPr>
              <w:jc w:val="both"/>
            </w:pPr>
          </w:p>
          <w:p w:rsidR="00692691" w:rsidRDefault="00A36489" w:rsidP="009913D2">
            <w:pPr>
              <w:jc w:val="both"/>
            </w:pPr>
            <w:r>
              <w:t xml:space="preserve">The substitute includes the following provisions: </w:t>
            </w:r>
          </w:p>
          <w:p w:rsidR="00692691" w:rsidRDefault="00A36489" w:rsidP="009913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an authorization </w:t>
            </w:r>
            <w:r>
              <w:t>for the</w:t>
            </w:r>
            <w:r>
              <w:t xml:space="preserve"> filing of </w:t>
            </w:r>
            <w:r>
              <w:t xml:space="preserve">the </w:t>
            </w:r>
            <w:r>
              <w:t>schedule of charges</w:t>
            </w:r>
            <w:r>
              <w:t xml:space="preserve"> by </w:t>
            </w:r>
            <w:r w:rsidRPr="00282EA4">
              <w:t>a certain residential service company</w:t>
            </w:r>
            <w:r>
              <w:t xml:space="preserve"> to be implemented in a certain timeframe;</w:t>
            </w:r>
          </w:p>
          <w:p w:rsidR="00692691" w:rsidRDefault="00A36489" w:rsidP="009913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repeal of the requirement for the TREC to approve a filing </w:t>
            </w:r>
            <w:r w:rsidRPr="00692691">
              <w:t>if the TREC determines that the filing is reasonably related to the amount, term, and conditions of the con</w:t>
            </w:r>
            <w:r>
              <w:t xml:space="preserve">tract to which the filing applies; </w:t>
            </w:r>
          </w:p>
          <w:p w:rsidR="00692691" w:rsidRDefault="00A36489" w:rsidP="009913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an authorization for the TREC to order the filing re</w:t>
            </w:r>
            <w:r>
              <w:t>sidential service company to pay a refund if a filing is disapproved</w:t>
            </w:r>
            <w:r>
              <w:t>;</w:t>
            </w:r>
            <w:r>
              <w:t xml:space="preserve"> and</w:t>
            </w:r>
          </w:p>
          <w:p w:rsidR="00A04AD4" w:rsidRDefault="00A36489" w:rsidP="009913D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 requirement for </w:t>
            </w:r>
            <w:r w:rsidRPr="00A04AD4">
              <w:t>a sales contract between a seller and buyer of a residential property to</w:t>
            </w:r>
            <w:r>
              <w:t xml:space="preserve"> include certain</w:t>
            </w:r>
            <w:r w:rsidRPr="00A04AD4">
              <w:t xml:space="preserve"> state</w:t>
            </w:r>
            <w:r>
              <w:t>ments</w:t>
            </w:r>
            <w:r>
              <w:t>.</w:t>
            </w:r>
          </w:p>
          <w:p w:rsidR="00A34174" w:rsidRDefault="00A36489" w:rsidP="009913D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A34174" w:rsidRDefault="00A36489" w:rsidP="009913D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substitute revises </w:t>
            </w:r>
            <w:r>
              <w:t xml:space="preserve">provisions </w:t>
            </w:r>
            <w:r w:rsidRPr="002A5699">
              <w:t>authoriz</w:t>
            </w:r>
            <w:r>
              <w:t>ing</w:t>
            </w:r>
            <w:r w:rsidRPr="002A5699">
              <w:t xml:space="preserve"> </w:t>
            </w:r>
            <w:r>
              <w:t xml:space="preserve">the </w:t>
            </w:r>
            <w:r w:rsidRPr="002A5699">
              <w:t xml:space="preserve">TREC </w:t>
            </w:r>
            <w:r>
              <w:t>to</w:t>
            </w:r>
            <w:r w:rsidRPr="002A5699">
              <w:t xml:space="preserve"> disc</w:t>
            </w:r>
            <w:r w:rsidRPr="002A5699">
              <w:t>ipline a residential service company</w:t>
            </w:r>
            <w:r>
              <w:t xml:space="preserve"> under certain conditions</w:t>
            </w:r>
            <w:r>
              <w:t xml:space="preserve"> by retaining as a disciplinary ground the use of a certain noncompliant schedule of charges and including the following grounds: </w:t>
            </w:r>
          </w:p>
          <w:p w:rsidR="00A34174" w:rsidRDefault="00A36489" w:rsidP="009913D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fail</w:t>
            </w:r>
            <w:r>
              <w:t>ing</w:t>
            </w:r>
            <w:r>
              <w:t xml:space="preserve"> to pay a fee for filing the report </w:t>
            </w:r>
            <w:r w:rsidRPr="00884D23">
              <w:t>each residential serv</w:t>
            </w:r>
            <w:r w:rsidRPr="00884D23">
              <w:t xml:space="preserve">ice company files </w:t>
            </w:r>
            <w:r>
              <w:t>with the TREC;</w:t>
            </w:r>
          </w:p>
          <w:p w:rsidR="00D32524" w:rsidRDefault="00A36489" w:rsidP="009913D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providing false or misleading information to the TREC on such a report or on a filing of a schedule of charges; and </w:t>
            </w:r>
          </w:p>
          <w:p w:rsidR="00A34174" w:rsidRDefault="00A36489" w:rsidP="009913D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failing to provide, within a reasonable time, information requested by the TREC that relates to </w:t>
            </w:r>
            <w:r>
              <w:t>a formal</w:t>
            </w:r>
            <w:r>
              <w:t xml:space="preserve"> o</w:t>
            </w:r>
            <w:r>
              <w:t>r informal complaint to the TREC.</w:t>
            </w:r>
          </w:p>
          <w:p w:rsidR="005A104A" w:rsidRDefault="00A36489" w:rsidP="009913D2">
            <w:pPr>
              <w:spacing w:before="120" w:after="120"/>
            </w:pPr>
          </w:p>
          <w:p w:rsidR="005A104A" w:rsidRDefault="00A36489" w:rsidP="009913D2">
            <w:pPr>
              <w:jc w:val="both"/>
            </w:pPr>
            <w:r>
              <w:t xml:space="preserve">The substitute does not exempt a person who is contractually obligated to perform services under a residential service contract from certain licensing requirements relating to such a contract. </w:t>
            </w:r>
          </w:p>
          <w:p w:rsidR="004F61BD" w:rsidRDefault="00A36489" w:rsidP="009913D2">
            <w:pPr>
              <w:jc w:val="both"/>
            </w:pPr>
          </w:p>
          <w:p w:rsidR="004F61BD" w:rsidRDefault="00A36489" w:rsidP="009913D2">
            <w:pPr>
              <w:jc w:val="both"/>
            </w:pPr>
            <w:r>
              <w:t>The substitute does not in</w:t>
            </w:r>
            <w:r>
              <w:t xml:space="preserve">clude </w:t>
            </w:r>
            <w:r w:rsidRPr="00EB1FF2">
              <w:t xml:space="preserve">as a required component of </w:t>
            </w:r>
            <w:r>
              <w:t>the</w:t>
            </w:r>
            <w:r>
              <w:t xml:space="preserve"> report</w:t>
            </w:r>
            <w:r>
              <w:t xml:space="preserve"> </w:t>
            </w:r>
            <w:r w:rsidRPr="00EB1FF2">
              <w:t>each residential service company files with the TREC</w:t>
            </w:r>
            <w:r>
              <w:t xml:space="preserve"> a schedule of contract charges filed for informational purposes only</w:t>
            </w:r>
            <w:r>
              <w:t xml:space="preserve"> </w:t>
            </w:r>
            <w:r w:rsidRPr="00EB1FF2">
              <w:t>which are not required to be subject to approval by the TREC</w:t>
            </w:r>
            <w:r>
              <w:t xml:space="preserve">. </w:t>
            </w:r>
          </w:p>
          <w:p w:rsidR="004F61BD" w:rsidRDefault="00A36489" w:rsidP="009913D2">
            <w:pPr>
              <w:jc w:val="both"/>
            </w:pPr>
          </w:p>
          <w:p w:rsidR="004F61BD" w:rsidRDefault="00A36489" w:rsidP="009913D2">
            <w:pPr>
              <w:jc w:val="both"/>
            </w:pPr>
            <w:r>
              <w:t>The substitute does not in</w:t>
            </w:r>
            <w:r>
              <w:t xml:space="preserve">clude a provision </w:t>
            </w:r>
            <w:r>
              <w:t>establishing</w:t>
            </w:r>
            <w:r>
              <w:t xml:space="preserve"> that</w:t>
            </w:r>
            <w:r>
              <w:t xml:space="preserve"> the</w:t>
            </w:r>
            <w:r>
              <w:t xml:space="preserve"> seller of a residential property or the buyer's or seller's agent who purchases a residential service contract for the benefit of the buyer has the right to choose the residential service contract provider. </w:t>
            </w:r>
          </w:p>
          <w:p w:rsidR="004F61BD" w:rsidRDefault="00A36489" w:rsidP="009913D2">
            <w:pPr>
              <w:jc w:val="both"/>
            </w:pPr>
          </w:p>
          <w:p w:rsidR="00FB7973" w:rsidRDefault="00A36489" w:rsidP="009913D2">
            <w:pPr>
              <w:jc w:val="both"/>
            </w:pPr>
            <w:r>
              <w:t xml:space="preserve">The </w:t>
            </w:r>
            <w:r>
              <w:t>substitute does not</w:t>
            </w:r>
            <w:r>
              <w:t xml:space="preserve"> </w:t>
            </w:r>
            <w:r>
              <w:t>repeal:</w:t>
            </w:r>
          </w:p>
          <w:p w:rsidR="00FB7973" w:rsidRDefault="00A36489" w:rsidP="009913D2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a </w:t>
            </w:r>
            <w:r>
              <w:t xml:space="preserve">requirement for </w:t>
            </w:r>
            <w:r w:rsidRPr="003E40FF">
              <w:t>the seller or the buyer's or seller's agent to provide to the buyer</w:t>
            </w:r>
            <w:r>
              <w:t xml:space="preserve"> </w:t>
            </w:r>
            <w:r>
              <w:t>a</w:t>
            </w:r>
            <w:r>
              <w:t xml:space="preserve"> certain </w:t>
            </w:r>
            <w:r>
              <w:t>statement</w:t>
            </w:r>
            <w:r>
              <w:t xml:space="preserve"> </w:t>
            </w:r>
            <w:r>
              <w:t xml:space="preserve">that </w:t>
            </w:r>
            <w:r>
              <w:t>the purchase of a residential service contract is optional and</w:t>
            </w:r>
            <w:r>
              <w:t xml:space="preserve"> that</w:t>
            </w:r>
            <w:r>
              <w:t xml:space="preserve"> the buyer may purchase similar coverage through another residential service company or insurance company authorized to engage in business in Texas; or</w:t>
            </w:r>
          </w:p>
          <w:p w:rsidR="00A87A82" w:rsidRDefault="00A36489" w:rsidP="009913D2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certain provisions relating to a schedule of charges a residential service company must file with TREC</w:t>
            </w:r>
            <w:r>
              <w:t>.</w:t>
            </w:r>
            <w:r>
              <w:t xml:space="preserve"> </w:t>
            </w:r>
          </w:p>
          <w:p w:rsidR="00692691" w:rsidRPr="00692691" w:rsidRDefault="00A36489" w:rsidP="009913D2">
            <w:pPr>
              <w:jc w:val="both"/>
            </w:pPr>
          </w:p>
        </w:tc>
      </w:tr>
      <w:tr w:rsidR="004A2D66" w:rsidTr="00F85D29">
        <w:tc>
          <w:tcPr>
            <w:tcW w:w="9576" w:type="dxa"/>
          </w:tcPr>
          <w:p w:rsidR="00D74A07" w:rsidRDefault="00A36489" w:rsidP="009913D2">
            <w:pPr>
              <w:jc w:val="both"/>
              <w:rPr>
                <w:b/>
                <w:u w:val="single"/>
              </w:rPr>
            </w:pPr>
          </w:p>
        </w:tc>
      </w:tr>
      <w:tr w:rsidR="004A2D66" w:rsidTr="00F85D29">
        <w:tc>
          <w:tcPr>
            <w:tcW w:w="9576" w:type="dxa"/>
          </w:tcPr>
          <w:p w:rsidR="00D74A07" w:rsidRPr="00D74A07" w:rsidRDefault="00A36489" w:rsidP="009913D2">
            <w:pPr>
              <w:jc w:val="both"/>
            </w:pPr>
          </w:p>
        </w:tc>
      </w:tr>
      <w:tr w:rsidR="004A2D66" w:rsidTr="00F85D29">
        <w:tc>
          <w:tcPr>
            <w:tcW w:w="9576" w:type="dxa"/>
          </w:tcPr>
          <w:p w:rsidR="00D74A07" w:rsidRDefault="00A36489" w:rsidP="009913D2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A364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648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6489">
      <w:r>
        <w:separator/>
      </w:r>
    </w:p>
  </w:endnote>
  <w:endnote w:type="continuationSeparator" w:id="0">
    <w:p w:rsidR="00000000" w:rsidRDefault="00A3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AF" w:rsidRDefault="00A36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2D66" w:rsidTr="009C1E9A">
      <w:trPr>
        <w:cantSplit/>
      </w:trPr>
      <w:tc>
        <w:tcPr>
          <w:tcW w:w="0" w:type="pct"/>
        </w:tcPr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2D66" w:rsidTr="009C1E9A">
      <w:trPr>
        <w:cantSplit/>
      </w:trPr>
      <w:tc>
        <w:tcPr>
          <w:tcW w:w="0" w:type="pct"/>
        </w:tcPr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7F5CAF" w:rsidRPr="009C1E9A" w:rsidRDefault="00A364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32266</w:t>
          </w:r>
        </w:p>
      </w:tc>
      <w:tc>
        <w:tcPr>
          <w:tcW w:w="2453" w:type="pct"/>
        </w:tcPr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19.126.1401</w:t>
          </w:r>
          <w:r>
            <w:fldChar w:fldCharType="end"/>
          </w:r>
        </w:p>
      </w:tc>
    </w:tr>
    <w:tr w:rsidR="004A2D66" w:rsidTr="009C1E9A">
      <w:trPr>
        <w:cantSplit/>
      </w:trPr>
      <w:tc>
        <w:tcPr>
          <w:tcW w:w="0" w:type="pct"/>
        </w:tcPr>
        <w:p w:rsidR="007F5CAF" w:rsidRDefault="00A364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7F5CAF" w:rsidRPr="009C1E9A" w:rsidRDefault="00A364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30521</w:t>
          </w:r>
        </w:p>
      </w:tc>
      <w:tc>
        <w:tcPr>
          <w:tcW w:w="2453" w:type="pct"/>
        </w:tcPr>
        <w:p w:rsidR="007F5CAF" w:rsidRDefault="00A36489" w:rsidP="006D504F">
          <w:pPr>
            <w:pStyle w:val="Footer"/>
            <w:rPr>
              <w:rStyle w:val="PageNumber"/>
            </w:rPr>
          </w:pPr>
        </w:p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2D66" w:rsidTr="009C1E9A">
      <w:trPr>
        <w:cantSplit/>
        <w:trHeight w:val="323"/>
      </w:trPr>
      <w:tc>
        <w:tcPr>
          <w:tcW w:w="0" w:type="pct"/>
          <w:gridSpan w:val="3"/>
        </w:tcPr>
        <w:p w:rsidR="007F5CAF" w:rsidRDefault="00A364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7F5CAF" w:rsidRDefault="00A364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7F5CAF" w:rsidRPr="00FF6F72" w:rsidRDefault="00A364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AF" w:rsidRDefault="00A3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6489">
      <w:r>
        <w:separator/>
      </w:r>
    </w:p>
  </w:footnote>
  <w:footnote w:type="continuationSeparator" w:id="0">
    <w:p w:rsidR="00000000" w:rsidRDefault="00A3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AF" w:rsidRDefault="00A3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AF" w:rsidRDefault="00A36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AF" w:rsidRDefault="00A36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3B5"/>
    <w:multiLevelType w:val="hybridMultilevel"/>
    <w:tmpl w:val="86EC7C20"/>
    <w:lvl w:ilvl="0" w:tplc="1DC0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4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C4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6C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8B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2B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D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5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2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506C"/>
    <w:multiLevelType w:val="hybridMultilevel"/>
    <w:tmpl w:val="F8DA71AC"/>
    <w:lvl w:ilvl="0" w:tplc="06A8A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A8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47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E2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A9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EF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C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0F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398"/>
    <w:multiLevelType w:val="hybridMultilevel"/>
    <w:tmpl w:val="F4003FD0"/>
    <w:lvl w:ilvl="0" w:tplc="70889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21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88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EB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7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8F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AB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D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22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04DA"/>
    <w:multiLevelType w:val="hybridMultilevel"/>
    <w:tmpl w:val="79AC1D24"/>
    <w:lvl w:ilvl="0" w:tplc="008AF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2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6E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61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EC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07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AD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1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8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A3143"/>
    <w:multiLevelType w:val="hybridMultilevel"/>
    <w:tmpl w:val="4B1CE876"/>
    <w:lvl w:ilvl="0" w:tplc="8588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0E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AF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40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F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29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3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2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4B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6"/>
    <w:rsid w:val="004A2D66"/>
    <w:rsid w:val="00A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CDACE-D846-4F56-AD43-62A41AAE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14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4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4CB"/>
    <w:rPr>
      <w:b/>
      <w:bCs/>
    </w:rPr>
  </w:style>
  <w:style w:type="paragraph" w:styleId="ListParagraph">
    <w:name w:val="List Paragraph"/>
    <w:basedOn w:val="Normal"/>
    <w:uiPriority w:val="34"/>
    <w:qFormat/>
    <w:rsid w:val="0069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5907</Characters>
  <Application>Microsoft Office Word</Application>
  <DocSecurity>4</DocSecurity>
  <Lines>128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HB02403 (Committee Report (Substituted))</vt:lpstr>
    </vt:vector>
  </TitlesOfParts>
  <Company>State of Texas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32266</dc:subject>
  <dc:creator>State of Texas</dc:creator>
  <dc:description>HB 2403 by Goldman-(H)Licensing &amp; Administrative Procedures (Substitute Document Number: 86R 30521)</dc:description>
  <cp:lastModifiedBy>Damian Duarte</cp:lastModifiedBy>
  <cp:revision>2</cp:revision>
  <cp:lastPrinted>2019-04-06T23:07:00Z</cp:lastPrinted>
  <dcterms:created xsi:type="dcterms:W3CDTF">2019-05-07T02:23:00Z</dcterms:created>
  <dcterms:modified xsi:type="dcterms:W3CDTF">2019-05-07T02:23:00Z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19.126.1401</vt:lpwstr>
  </property>
</Properties>
</file>