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57264" w:rsidTr="00345119">
        <w:tc>
          <w:tcPr>
            <w:tcW w:w="9576" w:type="dxa"/>
            <w:noWrap/>
          </w:tcPr>
          <w:p w:rsidR="008423E4" w:rsidRPr="0022177D" w:rsidRDefault="00F57E1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57E14" w:rsidP="008423E4">
      <w:pPr>
        <w:jc w:val="center"/>
      </w:pPr>
    </w:p>
    <w:p w:rsidR="008423E4" w:rsidRPr="00B31F0E" w:rsidRDefault="00F57E14" w:rsidP="008423E4"/>
    <w:p w:rsidR="008423E4" w:rsidRPr="00742794" w:rsidRDefault="00F57E1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57264" w:rsidTr="00345119">
        <w:tc>
          <w:tcPr>
            <w:tcW w:w="9576" w:type="dxa"/>
          </w:tcPr>
          <w:p w:rsidR="008423E4" w:rsidRPr="00861995" w:rsidRDefault="00F57E14" w:rsidP="00345119">
            <w:pPr>
              <w:jc w:val="right"/>
            </w:pPr>
            <w:r>
              <w:t>C.S.H.B. 2423</w:t>
            </w:r>
          </w:p>
        </w:tc>
      </w:tr>
      <w:tr w:rsidR="00557264" w:rsidTr="00345119">
        <w:tc>
          <w:tcPr>
            <w:tcW w:w="9576" w:type="dxa"/>
          </w:tcPr>
          <w:p w:rsidR="008423E4" w:rsidRPr="00861995" w:rsidRDefault="00F57E14" w:rsidP="000029A5">
            <w:pPr>
              <w:jc w:val="right"/>
            </w:pPr>
            <w:r>
              <w:t xml:space="preserve">By: </w:t>
            </w:r>
            <w:r>
              <w:t>Anderson, Charles "Doc"</w:t>
            </w:r>
          </w:p>
        </w:tc>
      </w:tr>
      <w:tr w:rsidR="00557264" w:rsidTr="00345119">
        <w:tc>
          <w:tcPr>
            <w:tcW w:w="9576" w:type="dxa"/>
          </w:tcPr>
          <w:p w:rsidR="008423E4" w:rsidRPr="00861995" w:rsidRDefault="00F57E14" w:rsidP="00345119">
            <w:pPr>
              <w:jc w:val="right"/>
            </w:pPr>
            <w:r>
              <w:t>State Affairs</w:t>
            </w:r>
          </w:p>
        </w:tc>
      </w:tr>
      <w:tr w:rsidR="00557264" w:rsidTr="00345119">
        <w:tc>
          <w:tcPr>
            <w:tcW w:w="9576" w:type="dxa"/>
          </w:tcPr>
          <w:p w:rsidR="008423E4" w:rsidRDefault="00F57E14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F57E14" w:rsidP="008423E4">
      <w:pPr>
        <w:tabs>
          <w:tab w:val="right" w:pos="9360"/>
        </w:tabs>
      </w:pPr>
    </w:p>
    <w:p w:rsidR="008423E4" w:rsidRDefault="00F57E14" w:rsidP="008423E4"/>
    <w:p w:rsidR="008423E4" w:rsidRDefault="00F57E1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57264" w:rsidTr="00345119">
        <w:tc>
          <w:tcPr>
            <w:tcW w:w="9576" w:type="dxa"/>
          </w:tcPr>
          <w:p w:rsidR="008423E4" w:rsidRPr="00A8133F" w:rsidRDefault="00F57E14" w:rsidP="0022088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57E14" w:rsidP="00220884"/>
          <w:p w:rsidR="008423E4" w:rsidRDefault="00F57E14" w:rsidP="00220884">
            <w:pPr>
              <w:pStyle w:val="Header"/>
              <w:jc w:val="both"/>
            </w:pPr>
            <w:r>
              <w:t xml:space="preserve">It has been noted that many rural Texans lack access to broadband Internet service. With the continuing reliance on high-speed Internet connectivity in our daily lives, </w:t>
            </w:r>
            <w:r w:rsidRPr="003676E4">
              <w:t xml:space="preserve">concerns have been raised that this lack of broadband </w:t>
            </w:r>
            <w:r>
              <w:t xml:space="preserve">service </w:t>
            </w:r>
            <w:r w:rsidRPr="003676E4">
              <w:t>access</w:t>
            </w:r>
            <w:r>
              <w:t xml:space="preserve"> </w:t>
            </w:r>
            <w:r>
              <w:t xml:space="preserve">is </w:t>
            </w:r>
            <w:r w:rsidRPr="003676E4">
              <w:t>leaving rural c</w:t>
            </w:r>
            <w:r w:rsidRPr="003676E4">
              <w:t>ommunities behind with regard to</w:t>
            </w:r>
            <w:r>
              <w:t xml:space="preserve"> access to education, healthcare services, and economic development opportunities. </w:t>
            </w:r>
            <w:r>
              <w:t>C.S.</w:t>
            </w:r>
            <w:r>
              <w:t>H.B.</w:t>
            </w:r>
            <w:r>
              <w:t> </w:t>
            </w:r>
            <w:r>
              <w:t xml:space="preserve">2423 seeks to promote </w:t>
            </w:r>
            <w:r>
              <w:t xml:space="preserve">and provide for expanded </w:t>
            </w:r>
            <w:r>
              <w:t xml:space="preserve">broadband </w:t>
            </w:r>
            <w:r>
              <w:t xml:space="preserve">service </w:t>
            </w:r>
            <w:r>
              <w:t>access</w:t>
            </w:r>
            <w:r>
              <w:t xml:space="preserve"> by establishing a broadband office </w:t>
            </w:r>
            <w:r>
              <w:t>within</w:t>
            </w:r>
            <w:r>
              <w:t xml:space="preserve"> the Public Utility</w:t>
            </w:r>
            <w:r>
              <w:t xml:space="preserve"> Commission of Texas</w:t>
            </w:r>
            <w:r>
              <w:t xml:space="preserve"> and requiring the office to establish a grant program </w:t>
            </w:r>
            <w:r w:rsidRPr="00C037BB">
              <w:t>for projects that stimulate the installation and maintenance of broadband</w:t>
            </w:r>
            <w:r>
              <w:t xml:space="preserve"> service</w:t>
            </w:r>
            <w:r>
              <w:t xml:space="preserve"> in unserved areas of Texas</w:t>
            </w:r>
            <w:r>
              <w:t>.</w:t>
            </w:r>
          </w:p>
          <w:p w:rsidR="008423E4" w:rsidRPr="00E26B13" w:rsidRDefault="00F57E14" w:rsidP="00220884">
            <w:pPr>
              <w:rPr>
                <w:b/>
              </w:rPr>
            </w:pPr>
          </w:p>
        </w:tc>
      </w:tr>
      <w:tr w:rsidR="00557264" w:rsidTr="00345119">
        <w:tc>
          <w:tcPr>
            <w:tcW w:w="9576" w:type="dxa"/>
          </w:tcPr>
          <w:p w:rsidR="0017725B" w:rsidRDefault="00F57E14" w:rsidP="0022088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Pr="001548ED" w:rsidRDefault="00F57E14" w:rsidP="00220884">
            <w:pPr>
              <w:rPr>
                <w:b/>
                <w:sz w:val="20"/>
                <w:u w:val="single"/>
              </w:rPr>
            </w:pPr>
          </w:p>
          <w:p w:rsidR="008D5884" w:rsidRPr="008D5884" w:rsidRDefault="00F57E14" w:rsidP="00220884">
            <w:pPr>
              <w:jc w:val="both"/>
            </w:pPr>
            <w:r>
              <w:t>It is the committee's opinion that this bill</w:t>
            </w:r>
            <w:r>
              <w:t xml:space="preserve">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5D1B42" w:rsidRDefault="00F57E14" w:rsidP="00220884">
            <w:pPr>
              <w:rPr>
                <w:b/>
                <w:sz w:val="20"/>
                <w:u w:val="single"/>
              </w:rPr>
            </w:pPr>
          </w:p>
        </w:tc>
      </w:tr>
      <w:tr w:rsidR="00557264" w:rsidTr="00345119">
        <w:tc>
          <w:tcPr>
            <w:tcW w:w="9576" w:type="dxa"/>
          </w:tcPr>
          <w:p w:rsidR="008423E4" w:rsidRPr="00A8133F" w:rsidRDefault="00F57E14" w:rsidP="0022088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Pr="005D1B42" w:rsidRDefault="00F57E14" w:rsidP="00220884">
            <w:pPr>
              <w:rPr>
                <w:sz w:val="20"/>
              </w:rPr>
            </w:pPr>
          </w:p>
          <w:p w:rsidR="008D5884" w:rsidRDefault="00F57E14" w:rsidP="0022088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</w:t>
            </w:r>
            <w:r>
              <w:t>is the committee's opinion that rulemaking authority is expressly granted to the Public Utility Commission of Texas in SECTION 1 of this bill.</w:t>
            </w:r>
          </w:p>
          <w:p w:rsidR="008423E4" w:rsidRPr="00E914F4" w:rsidRDefault="00F57E14" w:rsidP="00220884">
            <w:pPr>
              <w:rPr>
                <w:b/>
                <w:sz w:val="20"/>
              </w:rPr>
            </w:pPr>
          </w:p>
        </w:tc>
      </w:tr>
      <w:tr w:rsidR="00557264" w:rsidTr="00345119">
        <w:tc>
          <w:tcPr>
            <w:tcW w:w="9576" w:type="dxa"/>
          </w:tcPr>
          <w:p w:rsidR="008423E4" w:rsidRPr="00A8133F" w:rsidRDefault="00F57E14" w:rsidP="00220884">
            <w:pPr>
              <w:contextualSpacing/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Pr="001548ED" w:rsidRDefault="00F57E14" w:rsidP="00220884">
            <w:pPr>
              <w:contextualSpacing/>
              <w:rPr>
                <w:sz w:val="16"/>
              </w:rPr>
            </w:pPr>
          </w:p>
          <w:p w:rsidR="008423E4" w:rsidRDefault="00F57E14" w:rsidP="00220884">
            <w:pPr>
              <w:pStyle w:val="Header"/>
              <w:tabs>
                <w:tab w:val="clear" w:pos="4320"/>
                <w:tab w:val="clear" w:pos="8640"/>
              </w:tabs>
              <w:contextualSpacing/>
              <w:jc w:val="both"/>
            </w:pPr>
            <w:r>
              <w:t>C.S.</w:t>
            </w:r>
            <w:r>
              <w:t xml:space="preserve">H.B. 2423 amends the Utilities Code to establish the broadband office within the Public Utility </w:t>
            </w:r>
            <w:r>
              <w:t>Commission of Texas (PUC)</w:t>
            </w:r>
            <w:r>
              <w:t xml:space="preserve"> and to </w:t>
            </w:r>
            <w:r w:rsidRPr="004D00BB">
              <w:t xml:space="preserve">authorize the PUC to employ additional employees necessary for the discharge of the </w:t>
            </w:r>
            <w:r>
              <w:t xml:space="preserve">office's </w:t>
            </w:r>
            <w:r w:rsidRPr="004D00BB">
              <w:t>duties.</w:t>
            </w:r>
            <w:r>
              <w:t xml:space="preserve"> The bill </w:t>
            </w:r>
            <w:r>
              <w:t>sets out the office's powers and</w:t>
            </w:r>
            <w:r>
              <w:t xml:space="preserve"> duties</w:t>
            </w:r>
            <w:r>
              <w:t>, which include</w:t>
            </w:r>
            <w:r>
              <w:t xml:space="preserve"> the following</w:t>
            </w:r>
            <w:r>
              <w:t>, among others</w:t>
            </w:r>
            <w:r>
              <w:t>:</w:t>
            </w:r>
          </w:p>
          <w:p w:rsidR="00E41425" w:rsidRDefault="00F57E14" w:rsidP="00220884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>facilitat</w:t>
            </w:r>
            <w:r>
              <w:t>ing</w:t>
            </w:r>
            <w:r>
              <w:t xml:space="preserve"> and coordinat</w:t>
            </w:r>
            <w:r>
              <w:t>ing</w:t>
            </w:r>
            <w:r>
              <w:t xml:space="preserve"> the efforts of state agencies</w:t>
            </w:r>
            <w:r>
              <w:t>, hospitals, schools,</w:t>
            </w:r>
            <w:r>
              <w:t xml:space="preserve"> and local units of government, including regional planning commissions, in connection with the planning and deployment of </w:t>
            </w:r>
            <w:r>
              <w:t xml:space="preserve">projects for </w:t>
            </w:r>
            <w:r>
              <w:t>broadband</w:t>
            </w:r>
            <w:r>
              <w:t xml:space="preserve"> service</w:t>
            </w:r>
            <w:r>
              <w:t>, as defined by the bill</w:t>
            </w:r>
            <w:r>
              <w:t>;</w:t>
            </w:r>
          </w:p>
          <w:p w:rsidR="00E41425" w:rsidRDefault="00F57E14" w:rsidP="00220884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>develop</w:t>
            </w:r>
            <w:r>
              <w:t>ing</w:t>
            </w:r>
            <w:r>
              <w:t xml:space="preserve"> proposals for</w:t>
            </w:r>
            <w:r>
              <w:t xml:space="preserve"> b</w:t>
            </w:r>
            <w:r>
              <w:t xml:space="preserve">roadband </w:t>
            </w:r>
            <w:r>
              <w:t xml:space="preserve">service </w:t>
            </w:r>
            <w:r>
              <w:t xml:space="preserve">investment and deployment strategies for </w:t>
            </w:r>
            <w:r>
              <w:t xml:space="preserve">unserved areas in </w:t>
            </w:r>
            <w:r>
              <w:t xml:space="preserve">rural communities and other areas of </w:t>
            </w:r>
            <w:r>
              <w:t>Texas</w:t>
            </w:r>
            <w:r>
              <w:t>;</w:t>
            </w:r>
          </w:p>
          <w:p w:rsidR="00E41425" w:rsidRDefault="00F57E14" w:rsidP="00220884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>promot</w:t>
            </w:r>
            <w:r>
              <w:t>ing</w:t>
            </w:r>
            <w:r>
              <w:t xml:space="preserve"> and coordinat</w:t>
            </w:r>
            <w:r>
              <w:t>ing</w:t>
            </w:r>
            <w:r>
              <w:t xml:space="preserve"> public sector and private sector broadband </w:t>
            </w:r>
            <w:r>
              <w:t xml:space="preserve">service </w:t>
            </w:r>
            <w:r>
              <w:t>solutions in support of statewide broadband</w:t>
            </w:r>
            <w:r>
              <w:t xml:space="preserve"> service</w:t>
            </w:r>
            <w:r>
              <w:t xml:space="preserve"> development goals;</w:t>
            </w:r>
          </w:p>
          <w:p w:rsidR="00E41425" w:rsidRDefault="00F57E14" w:rsidP="00220884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>pursu</w:t>
            </w:r>
            <w:r>
              <w:t>ing</w:t>
            </w:r>
            <w:r>
              <w:t xml:space="preserve"> and obtain</w:t>
            </w:r>
            <w:r>
              <w:t>ing</w:t>
            </w:r>
            <w:r>
              <w:t xml:space="preserve"> federal sources of broadband</w:t>
            </w:r>
            <w:r>
              <w:t xml:space="preserve"> service</w:t>
            </w:r>
            <w:r>
              <w:t xml:space="preserve"> funding;</w:t>
            </w:r>
            <w:r>
              <w:t xml:space="preserve"> and</w:t>
            </w:r>
          </w:p>
          <w:p w:rsidR="004D00BB" w:rsidRDefault="00F57E14" w:rsidP="00220884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 xml:space="preserve">managing and awarding funds allocated to the office for broadband </w:t>
            </w:r>
            <w:r>
              <w:t xml:space="preserve">service </w:t>
            </w:r>
            <w:r>
              <w:t>projects.</w:t>
            </w:r>
          </w:p>
          <w:p w:rsidR="002C1B5D" w:rsidRDefault="00F57E14" w:rsidP="00220884">
            <w:pPr>
              <w:pStyle w:val="Header"/>
              <w:spacing w:before="120" w:after="120"/>
              <w:contextualSpacing/>
              <w:jc w:val="both"/>
            </w:pPr>
            <w:r>
              <w:t>The bill</w:t>
            </w:r>
            <w:r>
              <w:t xml:space="preserve"> limits the applicability of </w:t>
            </w:r>
            <w:r>
              <w:t xml:space="preserve">its </w:t>
            </w:r>
            <w:r>
              <w:t xml:space="preserve">provisions to broadband service </w:t>
            </w:r>
            <w:r>
              <w:t>provided by a private sector provider and</w:t>
            </w:r>
            <w:r>
              <w:t xml:space="preserve"> expressly does not grant the PUC authority to regulate</w:t>
            </w:r>
            <w:r>
              <w:t xml:space="preserve"> broadband service or</w:t>
            </w:r>
            <w:r>
              <w:t xml:space="preserve"> broadband service providers or, except as required of a grant applicant or recipient, to require broadband service providers</w:t>
            </w:r>
            <w:r>
              <w:t xml:space="preserve"> to submit inf</w:t>
            </w:r>
            <w:r>
              <w:t>ormation to the PUC or require or authorize the PUC to require a broadband service provider or telecommunications provider to participate in any broadband service planning, activities, or initiatives conducted by the broadband office or the PUC.</w:t>
            </w:r>
          </w:p>
          <w:p w:rsidR="00AF0A07" w:rsidRPr="005D1B42" w:rsidRDefault="00F57E14" w:rsidP="0022088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contextualSpacing/>
              <w:jc w:val="both"/>
              <w:rPr>
                <w:sz w:val="20"/>
              </w:rPr>
            </w:pPr>
          </w:p>
          <w:p w:rsidR="00AF0A07" w:rsidRDefault="00F57E14" w:rsidP="0022088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contextualSpacing/>
              <w:jc w:val="both"/>
            </w:pPr>
            <w:r>
              <w:t>C.S.</w:t>
            </w:r>
            <w:r>
              <w:t xml:space="preserve">H.B. </w:t>
            </w:r>
            <w:r>
              <w:t>2423</w:t>
            </w:r>
            <w:r>
              <w:t xml:space="preserve"> requires the </w:t>
            </w:r>
            <w:r>
              <w:t xml:space="preserve">broadband </w:t>
            </w:r>
            <w:r>
              <w:t xml:space="preserve">office to </w:t>
            </w:r>
            <w:r w:rsidRPr="00E41425">
              <w:t>establish a</w:t>
            </w:r>
            <w:r>
              <w:t xml:space="preserve"> </w:t>
            </w:r>
            <w:r>
              <w:t>competitive</w:t>
            </w:r>
            <w:r w:rsidRPr="00E41425">
              <w:t xml:space="preserve"> </w:t>
            </w:r>
            <w:r>
              <w:t xml:space="preserve">grant </w:t>
            </w:r>
            <w:r w:rsidRPr="00E41425">
              <w:t xml:space="preserve">program to provide grants to </w:t>
            </w:r>
            <w:r>
              <w:t xml:space="preserve">applicants for </w:t>
            </w:r>
            <w:r w:rsidRPr="00960BCD">
              <w:t xml:space="preserve">the expansion of access to broadband service in areas that are unserved in relation to broadband services. </w:t>
            </w:r>
            <w:r>
              <w:t xml:space="preserve">The bill </w:t>
            </w:r>
            <w:r>
              <w:t>restricts</w:t>
            </w:r>
            <w:r>
              <w:t xml:space="preserve"> </w:t>
            </w:r>
            <w:r>
              <w:t>provision of a gra</w:t>
            </w:r>
            <w:r>
              <w:t xml:space="preserve">nt by </w:t>
            </w:r>
            <w:r>
              <w:t xml:space="preserve">the broadband office to a project to provide broadband service in </w:t>
            </w:r>
            <w:r>
              <w:t xml:space="preserve">such </w:t>
            </w:r>
            <w:r>
              <w:t xml:space="preserve">an </w:t>
            </w:r>
            <w:r>
              <w:t xml:space="preserve">unserved </w:t>
            </w:r>
            <w:r>
              <w:t xml:space="preserve">area. The bill requires the office to establish and publish eligibility criteria for grant recipients and sets out requirements for those criteria. The bill </w:t>
            </w:r>
            <w:r>
              <w:t>provides</w:t>
            </w:r>
            <w:r>
              <w:t xml:space="preserve"> f</w:t>
            </w:r>
            <w:r>
              <w:t xml:space="preserve">or </w:t>
            </w:r>
            <w:r>
              <w:t xml:space="preserve">the contents of </w:t>
            </w:r>
            <w:r>
              <w:t xml:space="preserve">a grant application and </w:t>
            </w:r>
            <w:r>
              <w:t xml:space="preserve">for </w:t>
            </w:r>
            <w:r>
              <w:t xml:space="preserve">notice of </w:t>
            </w:r>
            <w:r>
              <w:t xml:space="preserve">an entity's intent to submit </w:t>
            </w:r>
            <w:r>
              <w:t>such an application.</w:t>
            </w:r>
            <w:r>
              <w:t xml:space="preserve"> The bill requires the </w:t>
            </w:r>
            <w:r>
              <w:t>PUC</w:t>
            </w:r>
            <w:r>
              <w:t xml:space="preserve"> by rule to adopt minimum service standards for broadband service provided by a grant recipient in the project territory and</w:t>
            </w:r>
            <w:r>
              <w:t xml:space="preserve"> sets out requirements for those standards. </w:t>
            </w:r>
            <w:r>
              <w:t xml:space="preserve">The bill </w:t>
            </w:r>
            <w:r>
              <w:t>sets out provisions</w:t>
            </w:r>
            <w:r>
              <w:t xml:space="preserve"> relating to the </w:t>
            </w:r>
            <w:r>
              <w:t xml:space="preserve">office's </w:t>
            </w:r>
            <w:r>
              <w:t>duties in relation to the application process and grant awards</w:t>
            </w:r>
            <w:r>
              <w:t xml:space="preserve">, </w:t>
            </w:r>
            <w:r>
              <w:t xml:space="preserve">a grant recipient’s noncompliance with applicable commission rules and standards, notification on project completion, </w:t>
            </w:r>
            <w:r>
              <w:t xml:space="preserve">and </w:t>
            </w:r>
            <w:r>
              <w:t xml:space="preserve">a biennial report </w:t>
            </w:r>
            <w:r>
              <w:t xml:space="preserve">to the legislature </w:t>
            </w:r>
            <w:r>
              <w:t>on the program</w:t>
            </w:r>
            <w:r>
              <w:t>.</w:t>
            </w:r>
          </w:p>
          <w:p w:rsidR="00AF0A07" w:rsidRDefault="00F57E14" w:rsidP="0022088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contextualSpacing/>
              <w:jc w:val="both"/>
            </w:pPr>
          </w:p>
          <w:p w:rsidR="00E41425" w:rsidRDefault="00F57E14" w:rsidP="0022088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contextualSpacing/>
              <w:jc w:val="both"/>
            </w:pPr>
            <w:r>
              <w:t>C.S.</w:t>
            </w:r>
            <w:r>
              <w:t>H.B. 2423</w:t>
            </w:r>
            <w:r>
              <w:t xml:space="preserve"> establishes the broadband investment account in the general revenu</w:t>
            </w:r>
            <w:r>
              <w:t xml:space="preserve">e fund and sets out the composition of the account. </w:t>
            </w:r>
            <w:r>
              <w:t xml:space="preserve">The bill </w:t>
            </w:r>
            <w:r>
              <w:t xml:space="preserve">restricts </w:t>
            </w:r>
            <w:r>
              <w:t xml:space="preserve">the </w:t>
            </w:r>
            <w:r>
              <w:t xml:space="preserve">appropriation of money in the account to </w:t>
            </w:r>
            <w:r w:rsidRPr="008D5884">
              <w:t>the office for purposes of the grant program</w:t>
            </w:r>
            <w:r>
              <w:t xml:space="preserve"> and</w:t>
            </w:r>
            <w:r>
              <w:t xml:space="preserve"> exempts the account from the application of statutory provisions relating to the dispositio</w:t>
            </w:r>
            <w:r>
              <w:t>n of interest on investments</w:t>
            </w:r>
            <w:r>
              <w:t xml:space="preserve"> in state funds and accounts</w:t>
            </w:r>
            <w:r>
              <w:t xml:space="preserve">. </w:t>
            </w:r>
            <w:r>
              <w:t xml:space="preserve">The bill </w:t>
            </w:r>
            <w:r>
              <w:t xml:space="preserve">authorizes the office to </w:t>
            </w:r>
            <w:r w:rsidRPr="008D5884">
              <w:t xml:space="preserve">accept gifts, grants, and donations from any source that are made for the </w:t>
            </w:r>
            <w:r w:rsidRPr="008D5884">
              <w:t>program</w:t>
            </w:r>
            <w:r>
              <w:t>'s</w:t>
            </w:r>
            <w:r w:rsidRPr="008D5884">
              <w:t xml:space="preserve"> </w:t>
            </w:r>
            <w:r w:rsidRPr="008D5884">
              <w:t xml:space="preserve">purposes </w:t>
            </w:r>
            <w:r>
              <w:t>and</w:t>
            </w:r>
            <w:r>
              <w:t xml:space="preserve"> requires the office to </w:t>
            </w:r>
            <w:r w:rsidRPr="008D5884">
              <w:t xml:space="preserve">deposit </w:t>
            </w:r>
            <w:r>
              <w:t xml:space="preserve">any </w:t>
            </w:r>
            <w:r>
              <w:t xml:space="preserve">such </w:t>
            </w:r>
            <w:r w:rsidRPr="008D5884">
              <w:t>money received</w:t>
            </w:r>
            <w:r w:rsidRPr="008D5884">
              <w:t xml:space="preserve"> to the credi</w:t>
            </w:r>
            <w:r w:rsidRPr="008D5884">
              <w:t>t of the account</w:t>
            </w:r>
            <w:r>
              <w:t>. The bill requires the PUC by rule to implement and administer the grant program.</w:t>
            </w:r>
          </w:p>
          <w:p w:rsidR="008423E4" w:rsidRPr="00835628" w:rsidRDefault="00F57E14" w:rsidP="00220884">
            <w:pPr>
              <w:contextualSpacing/>
              <w:rPr>
                <w:b/>
              </w:rPr>
            </w:pPr>
          </w:p>
        </w:tc>
      </w:tr>
      <w:tr w:rsidR="00557264" w:rsidTr="00345119">
        <w:tc>
          <w:tcPr>
            <w:tcW w:w="9576" w:type="dxa"/>
          </w:tcPr>
          <w:p w:rsidR="008423E4" w:rsidRPr="00A8133F" w:rsidRDefault="00F57E14" w:rsidP="0022088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57E14" w:rsidP="00220884"/>
          <w:p w:rsidR="008423E4" w:rsidRPr="003624F2" w:rsidRDefault="00F57E14" w:rsidP="0022088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F57E14" w:rsidP="00220884">
            <w:pPr>
              <w:rPr>
                <w:b/>
              </w:rPr>
            </w:pPr>
          </w:p>
        </w:tc>
      </w:tr>
      <w:tr w:rsidR="00557264" w:rsidTr="00345119">
        <w:tc>
          <w:tcPr>
            <w:tcW w:w="9576" w:type="dxa"/>
          </w:tcPr>
          <w:p w:rsidR="000029A5" w:rsidRDefault="00F57E14" w:rsidP="00220884">
            <w:pPr>
              <w:contextualSpacing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F2619C" w:rsidRDefault="00F57E14" w:rsidP="00220884">
            <w:pPr>
              <w:contextualSpacing/>
              <w:jc w:val="both"/>
            </w:pPr>
          </w:p>
          <w:p w:rsidR="00F2619C" w:rsidRDefault="00F57E14" w:rsidP="00220884">
            <w:pPr>
              <w:contextualSpacing/>
              <w:jc w:val="both"/>
            </w:pPr>
            <w:r>
              <w:t xml:space="preserve">While C.S.H.B. 2423 may differ from the original in minor or nonsubstantive </w:t>
            </w:r>
            <w:r>
              <w:t>ways, the following summarizes the substantial differences between the introduced and committee substitute versions of the bill.</w:t>
            </w:r>
          </w:p>
          <w:p w:rsidR="00F2619C" w:rsidRDefault="00F57E14" w:rsidP="00220884">
            <w:pPr>
              <w:contextualSpacing/>
              <w:jc w:val="both"/>
            </w:pPr>
          </w:p>
          <w:p w:rsidR="0016245F" w:rsidRDefault="00F57E14" w:rsidP="00220884">
            <w:pPr>
              <w:contextualSpacing/>
              <w:jc w:val="both"/>
            </w:pPr>
            <w:r>
              <w:t xml:space="preserve">The substitute limits its applicability to only broadband services provided by a private sector provider. </w:t>
            </w:r>
            <w:r>
              <w:t>The substitute does not include a provision making certain public project</w:t>
            </w:r>
            <w:r>
              <w:t>s</w:t>
            </w:r>
            <w:r>
              <w:t xml:space="preserve"> eligible for the grant program.</w:t>
            </w:r>
          </w:p>
          <w:p w:rsidR="0016245F" w:rsidRDefault="00F57E14" w:rsidP="00220884">
            <w:pPr>
              <w:contextualSpacing/>
              <w:jc w:val="both"/>
            </w:pPr>
          </w:p>
          <w:p w:rsidR="0016245F" w:rsidRDefault="00F57E14" w:rsidP="00220884">
            <w:pPr>
              <w:contextualSpacing/>
              <w:jc w:val="both"/>
            </w:pPr>
            <w:r>
              <w:t xml:space="preserve">The substitute treats </w:t>
            </w:r>
            <w:r>
              <w:t>"</w:t>
            </w:r>
            <w:r>
              <w:t>broadband service</w:t>
            </w:r>
            <w:r>
              <w:t xml:space="preserve">" </w:t>
            </w:r>
            <w:r>
              <w:t xml:space="preserve">in a manner similar </w:t>
            </w:r>
            <w:r>
              <w:t>to</w:t>
            </w:r>
            <w:r>
              <w:t xml:space="preserve"> the introduced </w:t>
            </w:r>
            <w:r>
              <w:t xml:space="preserve">version's </w:t>
            </w:r>
            <w:r>
              <w:t xml:space="preserve">treatment of </w:t>
            </w:r>
            <w:r>
              <w:t>"</w:t>
            </w:r>
            <w:r>
              <w:t>broadband</w:t>
            </w:r>
            <w:r>
              <w:t xml:space="preserve">" </w:t>
            </w:r>
            <w:r>
              <w:t xml:space="preserve">and </w:t>
            </w:r>
            <w:r>
              <w:t>revises the related definitio</w:t>
            </w:r>
            <w:r>
              <w:t>n.</w:t>
            </w:r>
          </w:p>
          <w:p w:rsidR="0016245F" w:rsidRDefault="00F57E14" w:rsidP="00220884">
            <w:pPr>
              <w:contextualSpacing/>
              <w:jc w:val="both"/>
            </w:pPr>
          </w:p>
          <w:p w:rsidR="0016245F" w:rsidRDefault="00F57E14" w:rsidP="00220884">
            <w:pPr>
              <w:contextualSpacing/>
              <w:jc w:val="both"/>
            </w:pPr>
            <w:r>
              <w:t xml:space="preserve">The substitute includes a definition of </w:t>
            </w:r>
            <w:r>
              <w:t>"</w:t>
            </w:r>
            <w:r>
              <w:t>unserved area</w:t>
            </w:r>
            <w:r>
              <w:t xml:space="preserve">" </w:t>
            </w:r>
            <w:r>
              <w:t xml:space="preserve">in relation to broadband services </w:t>
            </w:r>
            <w:r>
              <w:t xml:space="preserve">and </w:t>
            </w:r>
            <w:r>
              <w:t xml:space="preserve">treats unserved areas in a manner </w:t>
            </w:r>
            <w:r>
              <w:t>similar to</w:t>
            </w:r>
            <w:r>
              <w:t xml:space="preserve"> </w:t>
            </w:r>
            <w:r>
              <w:t xml:space="preserve">the introduced version, but does not include </w:t>
            </w:r>
            <w:r>
              <w:t>treatment of</w:t>
            </w:r>
            <w:r>
              <w:t xml:space="preserve"> "underserved areas</w:t>
            </w:r>
            <w:r>
              <w:t>.</w:t>
            </w:r>
            <w:r>
              <w:t>"</w:t>
            </w:r>
          </w:p>
          <w:p w:rsidR="0016245F" w:rsidRDefault="00F57E14" w:rsidP="00220884">
            <w:pPr>
              <w:contextualSpacing/>
              <w:jc w:val="both"/>
            </w:pPr>
          </w:p>
          <w:p w:rsidR="001273B6" w:rsidRDefault="00F57E14" w:rsidP="00220884">
            <w:pPr>
              <w:contextualSpacing/>
              <w:jc w:val="both"/>
            </w:pPr>
            <w:r>
              <w:t>The substitute includes hospitals</w:t>
            </w:r>
            <w:r>
              <w:t xml:space="preserve"> and schools among the entities </w:t>
            </w:r>
            <w:r>
              <w:t xml:space="preserve">for which the office is required to facilitate and coordinate efforts in connection with broadband services. </w:t>
            </w:r>
          </w:p>
          <w:p w:rsidR="001273B6" w:rsidRDefault="00F57E14" w:rsidP="00220884">
            <w:pPr>
              <w:contextualSpacing/>
              <w:jc w:val="both"/>
            </w:pPr>
          </w:p>
          <w:p w:rsidR="004D35F4" w:rsidRDefault="00F57E14" w:rsidP="00220884">
            <w:pPr>
              <w:contextualSpacing/>
              <w:jc w:val="both"/>
            </w:pPr>
            <w:r>
              <w:t>The substitute includes a provision establishing that the bill's provisions do not grant the PUC the authority to</w:t>
            </w:r>
            <w:r>
              <w:t xml:space="preserve"> regulate broadband services or broadband service providers or to require or authorize the PUC to require a broadband service provider or telecommunications provider to participate in any broadband service planning, activities,</w:t>
            </w:r>
            <w:r>
              <w:t xml:space="preserve"> or initiatives conducted by </w:t>
            </w:r>
            <w:r>
              <w:t>the broadband office or the PUC.</w:t>
            </w:r>
          </w:p>
          <w:p w:rsidR="00230EA7" w:rsidRDefault="00F57E14" w:rsidP="00220884">
            <w:pPr>
              <w:contextualSpacing/>
              <w:jc w:val="both"/>
            </w:pPr>
          </w:p>
          <w:p w:rsidR="00230EA7" w:rsidRDefault="00F57E14" w:rsidP="00220884">
            <w:pPr>
              <w:spacing w:before="120" w:after="120"/>
              <w:contextualSpacing/>
              <w:jc w:val="both"/>
            </w:pPr>
            <w:r>
              <w:t xml:space="preserve">The substitute revises the purposes for which the </w:t>
            </w:r>
            <w:r>
              <w:t xml:space="preserve">broadband </w:t>
            </w:r>
            <w:r>
              <w:t xml:space="preserve">office is required to provide grants. The substitute does not include the requirement for the PUC to adopt standards by rule for a project eligible to be awarded </w:t>
            </w:r>
            <w:r>
              <w:t xml:space="preserve">a grant by the office. The substitute includes a requirement for the PUC to adopt by rule minimum service standards for broadband service provided by a grant recipient. The substitute includes </w:t>
            </w:r>
            <w:r>
              <w:t xml:space="preserve">certain </w:t>
            </w:r>
            <w:r>
              <w:t>requirements for</w:t>
            </w:r>
            <w:r w:rsidRPr="00230EA7">
              <w:t xml:space="preserve"> the office and </w:t>
            </w:r>
            <w:r>
              <w:t xml:space="preserve">for </w:t>
            </w:r>
            <w:r w:rsidRPr="00230EA7">
              <w:t>grant applicants an</w:t>
            </w:r>
            <w:r w:rsidRPr="00230EA7">
              <w:t>d recipients</w:t>
            </w:r>
            <w:r>
              <w:t>.</w:t>
            </w:r>
          </w:p>
          <w:p w:rsidR="00230EA7" w:rsidRDefault="00F57E14" w:rsidP="00220884">
            <w:pPr>
              <w:spacing w:before="120" w:after="120"/>
              <w:contextualSpacing/>
              <w:jc w:val="both"/>
            </w:pPr>
          </w:p>
          <w:p w:rsidR="00F2619C" w:rsidRPr="00F2619C" w:rsidRDefault="00F57E14" w:rsidP="00220884">
            <w:pPr>
              <w:spacing w:before="120" w:after="120"/>
              <w:contextualSpacing/>
              <w:jc w:val="both"/>
            </w:pPr>
            <w:r>
              <w:t>The bill includes a requirement for the submission of</w:t>
            </w:r>
            <w:r w:rsidRPr="00230EA7">
              <w:t xml:space="preserve"> a biennial report on the </w:t>
            </w:r>
            <w:r>
              <w:t xml:space="preserve">grant </w:t>
            </w:r>
            <w:r w:rsidRPr="00230EA7">
              <w:t>program</w:t>
            </w:r>
            <w:r>
              <w:t xml:space="preserve"> to the legislature</w:t>
            </w:r>
            <w:r>
              <w:t>.</w:t>
            </w:r>
          </w:p>
        </w:tc>
      </w:tr>
      <w:tr w:rsidR="00557264" w:rsidTr="00345119">
        <w:tc>
          <w:tcPr>
            <w:tcW w:w="9576" w:type="dxa"/>
          </w:tcPr>
          <w:p w:rsidR="000029A5" w:rsidRPr="009C1E9A" w:rsidRDefault="00F57E14" w:rsidP="00220884">
            <w:pPr>
              <w:rPr>
                <w:b/>
                <w:u w:val="single"/>
              </w:rPr>
            </w:pPr>
          </w:p>
        </w:tc>
      </w:tr>
      <w:tr w:rsidR="00557264" w:rsidTr="00345119">
        <w:tc>
          <w:tcPr>
            <w:tcW w:w="9576" w:type="dxa"/>
          </w:tcPr>
          <w:p w:rsidR="000029A5" w:rsidRPr="000029A5" w:rsidRDefault="00F57E14" w:rsidP="00220884">
            <w:pPr>
              <w:jc w:val="both"/>
            </w:pPr>
          </w:p>
        </w:tc>
      </w:tr>
    </w:tbl>
    <w:p w:rsidR="008423E4" w:rsidRPr="00BE0E75" w:rsidRDefault="00F57E1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57E14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57E14">
      <w:r>
        <w:separator/>
      </w:r>
    </w:p>
  </w:endnote>
  <w:endnote w:type="continuationSeparator" w:id="0">
    <w:p w:rsidR="00000000" w:rsidRDefault="00F57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57E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57264" w:rsidTr="009C1E9A">
      <w:trPr>
        <w:cantSplit/>
      </w:trPr>
      <w:tc>
        <w:tcPr>
          <w:tcW w:w="0" w:type="pct"/>
        </w:tcPr>
        <w:p w:rsidR="00137D90" w:rsidRDefault="00F57E1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57E1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57E1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57E1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57E1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57264" w:rsidTr="009C1E9A">
      <w:trPr>
        <w:cantSplit/>
      </w:trPr>
      <w:tc>
        <w:tcPr>
          <w:tcW w:w="0" w:type="pct"/>
        </w:tcPr>
        <w:p w:rsidR="00EC379B" w:rsidRDefault="00F57E1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57E1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26619</w:t>
          </w:r>
        </w:p>
      </w:tc>
      <w:tc>
        <w:tcPr>
          <w:tcW w:w="2453" w:type="pct"/>
        </w:tcPr>
        <w:p w:rsidR="00EC379B" w:rsidRDefault="00F57E1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19.103.27</w:t>
          </w:r>
          <w:r>
            <w:fldChar w:fldCharType="end"/>
          </w:r>
        </w:p>
      </w:tc>
    </w:tr>
    <w:tr w:rsidR="00557264" w:rsidTr="009C1E9A">
      <w:trPr>
        <w:cantSplit/>
      </w:trPr>
      <w:tc>
        <w:tcPr>
          <w:tcW w:w="0" w:type="pct"/>
        </w:tcPr>
        <w:p w:rsidR="00EC379B" w:rsidRDefault="00F57E1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57E1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25162</w:t>
          </w:r>
        </w:p>
      </w:tc>
      <w:tc>
        <w:tcPr>
          <w:tcW w:w="2453" w:type="pct"/>
        </w:tcPr>
        <w:p w:rsidR="00EC379B" w:rsidRDefault="00F57E14" w:rsidP="006D504F">
          <w:pPr>
            <w:pStyle w:val="Footer"/>
            <w:rPr>
              <w:rStyle w:val="PageNumber"/>
            </w:rPr>
          </w:pPr>
        </w:p>
        <w:p w:rsidR="00EC379B" w:rsidRDefault="00F57E1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5726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57E1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  <w:p w:rsidR="00EC379B" w:rsidRDefault="00F57E1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57E1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57E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57E14">
      <w:r>
        <w:separator/>
      </w:r>
    </w:p>
  </w:footnote>
  <w:footnote w:type="continuationSeparator" w:id="0">
    <w:p w:rsidR="00000000" w:rsidRDefault="00F57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57E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57E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57E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40F2"/>
    <w:multiLevelType w:val="hybridMultilevel"/>
    <w:tmpl w:val="A6B64238"/>
    <w:lvl w:ilvl="0" w:tplc="D49AB0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4200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B694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DEF2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346D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C483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A059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FC83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8452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230DA"/>
    <w:multiLevelType w:val="hybridMultilevel"/>
    <w:tmpl w:val="A1584EA4"/>
    <w:lvl w:ilvl="0" w:tplc="FBB01D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F04D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96BB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3CB0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6E17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2694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A016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7E34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B4AC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F3ADF"/>
    <w:multiLevelType w:val="hybridMultilevel"/>
    <w:tmpl w:val="82380D26"/>
    <w:lvl w:ilvl="0" w:tplc="BC3A95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98A8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24A1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1050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EE37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EC67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6AC9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C88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127F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64"/>
    <w:rsid w:val="00557264"/>
    <w:rsid w:val="00F5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A4AF99-679E-4F02-A0F5-15F8C3EF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D58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D58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D588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D58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D5884"/>
    <w:rPr>
      <w:b/>
      <w:bCs/>
    </w:rPr>
  </w:style>
  <w:style w:type="paragraph" w:styleId="ListParagraph">
    <w:name w:val="List Paragraph"/>
    <w:basedOn w:val="Normal"/>
    <w:uiPriority w:val="34"/>
    <w:qFormat/>
    <w:rsid w:val="00F26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1019</Words>
  <Characters>5737</Characters>
  <Application>Microsoft Office Word</Application>
  <DocSecurity>4</DocSecurity>
  <Lines>120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HB02423 (Committee Report (Substituted))</vt:lpstr>
    </vt:vector>
  </TitlesOfParts>
  <Company>State of Texas</Company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26619</dc:subject>
  <dc:creator>State of Texas</dc:creator>
  <dc:description>HB 2423 by Anderson, Charles "Doc"-(H)State Affairs (Substitute Document Number: 86R 25162)</dc:description>
  <cp:lastModifiedBy>Erin Conway</cp:lastModifiedBy>
  <cp:revision>2</cp:revision>
  <cp:lastPrinted>2003-11-26T17:21:00Z</cp:lastPrinted>
  <dcterms:created xsi:type="dcterms:W3CDTF">2019-04-16T01:57:00Z</dcterms:created>
  <dcterms:modified xsi:type="dcterms:W3CDTF">2019-04-16T01:57:00Z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19.103.27</vt:lpwstr>
  </property>
</Properties>
</file>