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D2969" w:rsidTr="00345119">
        <w:tc>
          <w:tcPr>
            <w:tcW w:w="9576" w:type="dxa"/>
            <w:noWrap/>
          </w:tcPr>
          <w:p w:rsidR="008423E4" w:rsidRPr="0022177D" w:rsidRDefault="008B495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B4950" w:rsidP="008423E4">
      <w:pPr>
        <w:jc w:val="center"/>
      </w:pPr>
    </w:p>
    <w:p w:rsidR="008423E4" w:rsidRPr="00B31F0E" w:rsidRDefault="008B4950" w:rsidP="008423E4"/>
    <w:p w:rsidR="008423E4" w:rsidRPr="00742794" w:rsidRDefault="008B495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2969" w:rsidTr="00345119">
        <w:tc>
          <w:tcPr>
            <w:tcW w:w="9576" w:type="dxa"/>
          </w:tcPr>
          <w:p w:rsidR="008423E4" w:rsidRPr="00861995" w:rsidRDefault="008B4950" w:rsidP="00345119">
            <w:pPr>
              <w:jc w:val="right"/>
            </w:pPr>
            <w:r>
              <w:t>C.S.H.B. 2439</w:t>
            </w:r>
          </w:p>
        </w:tc>
      </w:tr>
      <w:tr w:rsidR="00ED2969" w:rsidTr="00345119">
        <w:tc>
          <w:tcPr>
            <w:tcW w:w="9576" w:type="dxa"/>
          </w:tcPr>
          <w:p w:rsidR="008423E4" w:rsidRPr="00861995" w:rsidRDefault="008B4950" w:rsidP="00FB221F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ED2969" w:rsidTr="00345119">
        <w:tc>
          <w:tcPr>
            <w:tcW w:w="9576" w:type="dxa"/>
          </w:tcPr>
          <w:p w:rsidR="008423E4" w:rsidRPr="00861995" w:rsidRDefault="008B4950" w:rsidP="00345119">
            <w:pPr>
              <w:jc w:val="right"/>
            </w:pPr>
            <w:r>
              <w:t>State Affairs</w:t>
            </w:r>
          </w:p>
        </w:tc>
      </w:tr>
      <w:tr w:rsidR="00ED2969" w:rsidTr="00345119">
        <w:tc>
          <w:tcPr>
            <w:tcW w:w="9576" w:type="dxa"/>
          </w:tcPr>
          <w:p w:rsidR="008423E4" w:rsidRDefault="008B495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B4950" w:rsidP="008423E4">
      <w:pPr>
        <w:tabs>
          <w:tab w:val="right" w:pos="9360"/>
        </w:tabs>
      </w:pPr>
    </w:p>
    <w:p w:rsidR="008423E4" w:rsidRDefault="008B4950" w:rsidP="008423E4"/>
    <w:p w:rsidR="008423E4" w:rsidRDefault="008B495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D2969" w:rsidTr="00345119">
        <w:tc>
          <w:tcPr>
            <w:tcW w:w="9576" w:type="dxa"/>
          </w:tcPr>
          <w:p w:rsidR="008423E4" w:rsidRPr="00A8133F" w:rsidRDefault="008B4950" w:rsidP="00003D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B4950" w:rsidP="00003D10"/>
          <w:p w:rsidR="008423E4" w:rsidRDefault="008B4950" w:rsidP="00003D10">
            <w:pPr>
              <w:pStyle w:val="Header"/>
              <w:jc w:val="both"/>
            </w:pPr>
            <w:r>
              <w:t>There have been</w:t>
            </w:r>
            <w:r>
              <w:t xml:space="preserve"> concerns raised regarding</w:t>
            </w:r>
            <w:r>
              <w:t xml:space="preserve"> </w:t>
            </w:r>
            <w:r>
              <w:t xml:space="preserve">the </w:t>
            </w:r>
            <w:r>
              <w:t>eliminat</w:t>
            </w:r>
            <w:r>
              <w:t>ion of</w:t>
            </w:r>
            <w:r>
              <w:t xml:space="preserve"> consumer and builder choice in construction through </w:t>
            </w:r>
            <w:r>
              <w:t xml:space="preserve">overly restrictive </w:t>
            </w:r>
            <w:r>
              <w:t xml:space="preserve">local municipal zoning ordinances, building codes, design guidelines, and architectural standards. </w:t>
            </w:r>
            <w:r>
              <w:t>Critics argue that t</w:t>
            </w:r>
            <w:r>
              <w:t xml:space="preserve">hese </w:t>
            </w:r>
            <w:r>
              <w:t xml:space="preserve">restrictive ordinances, codes, guidelines, and standards </w:t>
            </w:r>
            <w:r>
              <w:t xml:space="preserve">create monopolies, increase the cost of construction, and ultimately price </w:t>
            </w:r>
            <w:r>
              <w:t xml:space="preserve">thousands of Texans out of the housing market. </w:t>
            </w:r>
            <w:r>
              <w:t>C.S.</w:t>
            </w:r>
            <w:r>
              <w:t xml:space="preserve">H.B. 2439 seeks to </w:t>
            </w:r>
            <w:r>
              <w:t xml:space="preserve">address these </w:t>
            </w:r>
            <w:r>
              <w:t>concerns</w:t>
            </w:r>
            <w:r>
              <w:t xml:space="preserve"> and </w:t>
            </w:r>
            <w:r>
              <w:t xml:space="preserve">eliminate the ability of a governmental entity to enact </w:t>
            </w:r>
            <w:r>
              <w:t xml:space="preserve">overly restrictive, </w:t>
            </w:r>
            <w:r>
              <w:t>vendor</w:t>
            </w:r>
            <w:r>
              <w:noBreakHyphen/>
            </w:r>
            <w:r>
              <w:t xml:space="preserve">driven building </w:t>
            </w:r>
            <w:r>
              <w:t>regulations</w:t>
            </w:r>
            <w:r>
              <w:t xml:space="preserve">.  </w:t>
            </w:r>
          </w:p>
          <w:p w:rsidR="008423E4" w:rsidRPr="00E26B13" w:rsidRDefault="008B4950" w:rsidP="00003D10">
            <w:pPr>
              <w:rPr>
                <w:b/>
              </w:rPr>
            </w:pPr>
          </w:p>
        </w:tc>
      </w:tr>
      <w:tr w:rsidR="00ED2969" w:rsidTr="00345119">
        <w:tc>
          <w:tcPr>
            <w:tcW w:w="9576" w:type="dxa"/>
          </w:tcPr>
          <w:p w:rsidR="0017725B" w:rsidRDefault="008B4950" w:rsidP="00003D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B4950" w:rsidP="00003D10">
            <w:pPr>
              <w:rPr>
                <w:b/>
                <w:u w:val="single"/>
              </w:rPr>
            </w:pPr>
          </w:p>
          <w:p w:rsidR="008F267E" w:rsidRPr="008F267E" w:rsidRDefault="008B4950" w:rsidP="00003D10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B4950" w:rsidP="00003D10">
            <w:pPr>
              <w:rPr>
                <w:b/>
                <w:u w:val="single"/>
              </w:rPr>
            </w:pPr>
          </w:p>
        </w:tc>
      </w:tr>
      <w:tr w:rsidR="00ED2969" w:rsidTr="00345119">
        <w:tc>
          <w:tcPr>
            <w:tcW w:w="9576" w:type="dxa"/>
          </w:tcPr>
          <w:p w:rsidR="008423E4" w:rsidRPr="00A8133F" w:rsidRDefault="008B4950" w:rsidP="00003D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B4950" w:rsidP="00003D10"/>
          <w:p w:rsidR="008F267E" w:rsidRDefault="008B4950" w:rsidP="00003D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B4950" w:rsidP="00003D10">
            <w:pPr>
              <w:rPr>
                <w:b/>
              </w:rPr>
            </w:pPr>
          </w:p>
        </w:tc>
      </w:tr>
      <w:tr w:rsidR="00ED2969" w:rsidTr="00345119">
        <w:tc>
          <w:tcPr>
            <w:tcW w:w="9576" w:type="dxa"/>
          </w:tcPr>
          <w:p w:rsidR="008423E4" w:rsidRPr="00A8133F" w:rsidRDefault="008B4950" w:rsidP="00003D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B4950" w:rsidP="00003D10"/>
          <w:p w:rsidR="0047765B" w:rsidRDefault="008B4950" w:rsidP="00003D10">
            <w:pPr>
              <w:pStyle w:val="Header"/>
              <w:jc w:val="both"/>
            </w:pPr>
            <w:r>
              <w:t>C.S.</w:t>
            </w:r>
            <w:r>
              <w:t>H.B. 2439</w:t>
            </w:r>
            <w:r>
              <w:t xml:space="preserve"> </w:t>
            </w:r>
            <w:r>
              <w:t>amends the Government Code to prohibit a</w:t>
            </w:r>
            <w:r>
              <w:t xml:space="preserve">n </w:t>
            </w:r>
            <w:r>
              <w:t>applicable</w:t>
            </w:r>
            <w:r>
              <w:t xml:space="preserve"> government</w:t>
            </w:r>
            <w:r>
              <w:t>al</w:t>
            </w:r>
            <w:r>
              <w:t xml:space="preserve"> entity from </w:t>
            </w:r>
            <w:r>
              <w:t>adopting</w:t>
            </w:r>
            <w:r>
              <w:t xml:space="preserve"> or enforcing a </w:t>
            </w:r>
            <w:r w:rsidRPr="00A52919">
              <w:t xml:space="preserve">regulation that </w:t>
            </w:r>
            <w:r>
              <w:t>either:</w:t>
            </w:r>
          </w:p>
          <w:p w:rsidR="0047765B" w:rsidRDefault="008B4950" w:rsidP="00003D1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A52919">
              <w:t>directly or indirectly</w:t>
            </w:r>
            <w:r>
              <w:t xml:space="preserve"> </w:t>
            </w:r>
            <w:r w:rsidRPr="00A52919">
              <w:t>prohibits</w:t>
            </w:r>
            <w:r>
              <w:t xml:space="preserve"> or limits</w:t>
            </w:r>
            <w:r w:rsidRPr="00A52919">
              <w:t xml:space="preserve"> the use </w:t>
            </w:r>
            <w:r>
              <w:t xml:space="preserve">or installation </w:t>
            </w:r>
            <w:r w:rsidRPr="00A52919">
              <w:t>of a building product</w:t>
            </w:r>
            <w:r>
              <w:t xml:space="preserve"> or</w:t>
            </w:r>
            <w:r w:rsidRPr="00A52919">
              <w:t xml:space="preserve"> material in the </w:t>
            </w:r>
            <w:r>
              <w:t xml:space="preserve">construction or </w:t>
            </w:r>
            <w:r w:rsidRPr="00A52919">
              <w:t xml:space="preserve">alteration of a residential or commercial </w:t>
            </w:r>
            <w:r>
              <w:t>buildi</w:t>
            </w:r>
            <w:r>
              <w:t xml:space="preserve">ng </w:t>
            </w:r>
            <w:r w:rsidRPr="00A52919">
              <w:t>if the building product</w:t>
            </w:r>
            <w:r>
              <w:t xml:space="preserve"> or</w:t>
            </w:r>
            <w:r w:rsidRPr="00A52919">
              <w:t xml:space="preserve"> material is approved for us</w:t>
            </w:r>
            <w:r>
              <w:t>e by a national model code</w:t>
            </w:r>
            <w:r>
              <w:t xml:space="preserve"> published within the last three code cycles that applies to the construction, renovation, maintenance, or other alteration of the building</w:t>
            </w:r>
            <w:r>
              <w:t>;</w:t>
            </w:r>
            <w:r>
              <w:t xml:space="preserve"> or </w:t>
            </w:r>
          </w:p>
          <w:p w:rsidR="0047765B" w:rsidRDefault="008B4950" w:rsidP="00003D1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establishes a standard for a</w:t>
            </w:r>
            <w:r>
              <w:t xml:space="preserve"> building product, material, or aesthetic method in </w:t>
            </w:r>
            <w:r>
              <w:t>the</w:t>
            </w:r>
            <w:r>
              <w:t xml:space="preserve"> </w:t>
            </w:r>
            <w:r>
              <w:t xml:space="preserve">construction or </w:t>
            </w:r>
            <w:r>
              <w:t xml:space="preserve">alteration of such a building that is more stringent than a standard for the product, material, or aesthetic method under </w:t>
            </w:r>
            <w:r>
              <w:t xml:space="preserve">such a code </w:t>
            </w:r>
            <w:r>
              <w:t xml:space="preserve">that applies to the </w:t>
            </w:r>
            <w:r>
              <w:t xml:space="preserve">construction or </w:t>
            </w:r>
            <w:r>
              <w:t xml:space="preserve">alteration of </w:t>
            </w:r>
            <w:r>
              <w:t>the building</w:t>
            </w:r>
            <w:r>
              <w:t>.</w:t>
            </w:r>
            <w:r>
              <w:t xml:space="preserve"> </w:t>
            </w:r>
          </w:p>
          <w:p w:rsidR="00345992" w:rsidRDefault="008B4950" w:rsidP="00003D10">
            <w:pPr>
              <w:pStyle w:val="Header"/>
              <w:jc w:val="both"/>
            </w:pPr>
          </w:p>
          <w:p w:rsidR="00A90818" w:rsidRDefault="008B4950" w:rsidP="00D7269D">
            <w:pPr>
              <w:pStyle w:val="Header"/>
              <w:spacing w:before="120" w:after="120"/>
              <w:jc w:val="both"/>
            </w:pPr>
            <w:r>
              <w:t>C.S.H.B. 2439</w:t>
            </w:r>
            <w:r>
              <w:t xml:space="preserve"> </w:t>
            </w:r>
            <w:r>
              <w:t xml:space="preserve">sets out </w:t>
            </w:r>
            <w:r>
              <w:t xml:space="preserve">the following </w:t>
            </w:r>
            <w:r>
              <w:t xml:space="preserve">exceptions to </w:t>
            </w:r>
            <w:r>
              <w:t xml:space="preserve">the bill's </w:t>
            </w:r>
            <w:r>
              <w:t>prohibition</w:t>
            </w:r>
            <w:r>
              <w:t>:</w:t>
            </w:r>
          </w:p>
          <w:p w:rsidR="009F03ED" w:rsidRDefault="008B4950" w:rsidP="00D7269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 program established by a state agency that requires particular standards, incentives, or financing arrangements in order to comply with requirements of a state or federal funding source or housing program; </w:t>
            </w:r>
          </w:p>
          <w:p w:rsidR="009F03ED" w:rsidRDefault="008B4950" w:rsidP="00D7269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 requirement for a building necessary to consi</w:t>
            </w:r>
            <w:r>
              <w:t xml:space="preserve">der the building eligible for windstorm and hail insurance coverage under the Texas Windstorm Insurance Association Act; </w:t>
            </w:r>
          </w:p>
          <w:p w:rsidR="009F03ED" w:rsidRDefault="008B4950" w:rsidP="00D7269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 building located in a place or area designated for its historical, cultural, or architectural importance and significance the constr</w:t>
            </w:r>
            <w:r>
              <w:t xml:space="preserve">uction, reconstruction, alteration, or razing of which a municipality may regulate under specified statutory provisions, if the municipality: </w:t>
            </w:r>
          </w:p>
          <w:p w:rsidR="009F03ED" w:rsidRDefault="008B4950" w:rsidP="00D7269D">
            <w:pPr>
              <w:pStyle w:val="Header"/>
              <w:numPr>
                <w:ilvl w:val="1"/>
                <w:numId w:val="3"/>
              </w:numPr>
              <w:spacing w:before="120" w:after="120"/>
              <w:jc w:val="both"/>
            </w:pPr>
            <w:r>
              <w:t xml:space="preserve">is a certified local government under the federal National Historic Preservation Act; or </w:t>
            </w:r>
          </w:p>
          <w:p w:rsidR="009F03ED" w:rsidRDefault="008B4950" w:rsidP="00D7269D">
            <w:pPr>
              <w:pStyle w:val="Header"/>
              <w:numPr>
                <w:ilvl w:val="1"/>
                <w:numId w:val="3"/>
              </w:numPr>
              <w:spacing w:before="120" w:after="120"/>
              <w:jc w:val="both"/>
            </w:pPr>
            <w:r>
              <w:t>has an applicable landm</w:t>
            </w:r>
            <w:r>
              <w:t xml:space="preserve">ark ordinance that meets the requirements under the certified local government program as determined by the Texas Historical Commission; </w:t>
            </w:r>
          </w:p>
          <w:p w:rsidR="009F03ED" w:rsidRDefault="008B4950" w:rsidP="00D7269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 building located in a place or area designated for its historical, cultural, or architectural importance and signifi</w:t>
            </w:r>
            <w:r>
              <w:t xml:space="preserve">cance by a governmental entity, if designated before April 1, 2019; </w:t>
            </w:r>
          </w:p>
          <w:p w:rsidR="009F03ED" w:rsidRDefault="008B4950" w:rsidP="00D7269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 building located in an area designated as a historic district on the National Register of Historic Places; </w:t>
            </w:r>
          </w:p>
          <w:p w:rsidR="009F03ED" w:rsidRDefault="008B4950" w:rsidP="00D7269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 building designated as a Recorded Texas Historic Landmark; </w:t>
            </w:r>
          </w:p>
          <w:p w:rsidR="009F03ED" w:rsidRDefault="008B4950" w:rsidP="00D7269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 building desi</w:t>
            </w:r>
            <w:r>
              <w:t xml:space="preserve">gnated as a State Archeological Landmark or State Antiquities Landmark; </w:t>
            </w:r>
          </w:p>
          <w:p w:rsidR="009F03ED" w:rsidRDefault="008B4950" w:rsidP="00D7269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 building listed on the National Register of Historic Places or designated as a landmark by a governmental entity; </w:t>
            </w:r>
          </w:p>
          <w:p w:rsidR="009F03ED" w:rsidRDefault="008B4950" w:rsidP="00D7269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 building located in a World Heritage Buffer Zone; and </w:t>
            </w:r>
          </w:p>
          <w:p w:rsidR="00A90818" w:rsidRDefault="008B4950" w:rsidP="00D7269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 buildin</w:t>
            </w:r>
            <w:r>
              <w:t xml:space="preserve">g located in an area designated for development, restoration, or preservation in a main street city under the main street program </w:t>
            </w:r>
            <w:r>
              <w:t>administered by the Texas Historical Commission</w:t>
            </w:r>
            <w:r>
              <w:t>.</w:t>
            </w:r>
          </w:p>
          <w:p w:rsidR="00A90818" w:rsidRDefault="008B4950" w:rsidP="00003D10">
            <w:pPr>
              <w:pStyle w:val="Header"/>
              <w:jc w:val="both"/>
            </w:pPr>
          </w:p>
          <w:p w:rsidR="001840CF" w:rsidRDefault="008B4950" w:rsidP="00003D10">
            <w:pPr>
              <w:pStyle w:val="Header"/>
              <w:jc w:val="both"/>
            </w:pPr>
            <w:r>
              <w:t xml:space="preserve">C.S.H.B. 2439 </w:t>
            </w:r>
            <w:r>
              <w:t>voids</w:t>
            </w:r>
            <w:r>
              <w:t xml:space="preserve"> a </w:t>
            </w:r>
            <w:r w:rsidRPr="00A52919">
              <w:t>regulation that conflicts with</w:t>
            </w:r>
            <w:r>
              <w:t xml:space="preserve"> </w:t>
            </w:r>
            <w:r>
              <w:t>th</w:t>
            </w:r>
            <w:r>
              <w:t>e</w:t>
            </w:r>
            <w:r>
              <w:t xml:space="preserve"> </w:t>
            </w:r>
            <w:r>
              <w:t xml:space="preserve">bill's </w:t>
            </w:r>
            <w:r>
              <w:t>prohibition</w:t>
            </w:r>
            <w:r>
              <w:t>.</w:t>
            </w:r>
            <w:r>
              <w:t xml:space="preserve"> </w:t>
            </w:r>
            <w:r>
              <w:t xml:space="preserve">The bill authorizes a governmental entity that adopts a building code governing the </w:t>
            </w:r>
            <w:r>
              <w:t xml:space="preserve">construction or </w:t>
            </w:r>
            <w:r>
              <w:t>alteration of a residential or commercial building to amend a provision of the code to conform to local concerns if the amendment does not conflict with th</w:t>
            </w:r>
            <w:r>
              <w:t xml:space="preserve">e prohibition. </w:t>
            </w:r>
            <w:r>
              <w:t xml:space="preserve">The bill authorizes a municipality that is not a certified local government under the </w:t>
            </w:r>
            <w:r>
              <w:t xml:space="preserve">federal </w:t>
            </w:r>
            <w:r>
              <w:t xml:space="preserve">National Historic Preservation Act to adopt or enforce a </w:t>
            </w:r>
            <w:r>
              <w:t xml:space="preserve">certain </w:t>
            </w:r>
            <w:r>
              <w:t xml:space="preserve">regulation </w:t>
            </w:r>
            <w:r>
              <w:t>otherwise prohibited by the bill</w:t>
            </w:r>
            <w:r>
              <w:t xml:space="preserve"> that applies to a building located in </w:t>
            </w:r>
            <w:r>
              <w:t xml:space="preserve">a place or area designated on or after April 1, 2019, by a municipality for its historical, cultural, or architectural importance and significance, if the municipality has the voluntary consent from the building owner. </w:t>
            </w:r>
          </w:p>
          <w:p w:rsidR="001840CF" w:rsidRDefault="008B4950" w:rsidP="00003D10">
            <w:pPr>
              <w:pStyle w:val="Header"/>
              <w:jc w:val="both"/>
            </w:pPr>
          </w:p>
          <w:p w:rsidR="00572F4A" w:rsidRDefault="008B4950" w:rsidP="00003D10">
            <w:pPr>
              <w:pStyle w:val="Header"/>
              <w:jc w:val="both"/>
            </w:pPr>
            <w:r>
              <w:t xml:space="preserve"> </w:t>
            </w:r>
            <w:r>
              <w:t xml:space="preserve">C.S.H.B. 2439 </w:t>
            </w:r>
            <w:r>
              <w:t>authorizes the attor</w:t>
            </w:r>
            <w:r>
              <w:t xml:space="preserve">ney general </w:t>
            </w:r>
            <w:r>
              <w:t xml:space="preserve">or an aggrieved party </w:t>
            </w:r>
            <w:r>
              <w:t xml:space="preserve">to </w:t>
            </w:r>
            <w:r>
              <w:t xml:space="preserve">file </w:t>
            </w:r>
            <w:r>
              <w:t xml:space="preserve">an action in </w:t>
            </w:r>
            <w:r>
              <w:t xml:space="preserve">district court </w:t>
            </w:r>
            <w:r>
              <w:t>to enjoin a violation</w:t>
            </w:r>
            <w:r>
              <w:t xml:space="preserve"> or threatened violation</w:t>
            </w:r>
            <w:r>
              <w:t xml:space="preserve"> of </w:t>
            </w:r>
            <w:r>
              <w:t>the prohibition established under the bill's provisions</w:t>
            </w:r>
            <w:r>
              <w:t xml:space="preserve"> and authorizes the court to grant appropriate relief. The bill authorizes the att</w:t>
            </w:r>
            <w:r>
              <w:t xml:space="preserve">orney general to recover reasonable attorney's fees and costs incurred in bringing </w:t>
            </w:r>
            <w:r>
              <w:t>the</w:t>
            </w:r>
            <w:r>
              <w:t xml:space="preserve"> action</w:t>
            </w:r>
            <w:r>
              <w:t xml:space="preserve"> </w:t>
            </w:r>
            <w:r>
              <w:t xml:space="preserve">and </w:t>
            </w:r>
            <w:r>
              <w:t xml:space="preserve">waives and abolishes sovereign and governmental immunity to suit only to the extent necessary to enforce the bill's provisions. </w:t>
            </w:r>
          </w:p>
          <w:p w:rsidR="00572F4A" w:rsidRDefault="008B4950" w:rsidP="00003D10">
            <w:pPr>
              <w:pStyle w:val="Header"/>
              <w:jc w:val="both"/>
            </w:pPr>
          </w:p>
          <w:p w:rsidR="00A52919" w:rsidRDefault="008B4950" w:rsidP="00003D10">
            <w:pPr>
              <w:pStyle w:val="Header"/>
              <w:jc w:val="both"/>
            </w:pPr>
            <w:r>
              <w:t>C.S.H.B. 2439</w:t>
            </w:r>
            <w:r>
              <w:t xml:space="preserve"> expressly does not affect the installation of a fire sprinkler protection system</w:t>
            </w:r>
            <w:r>
              <w:t xml:space="preserve"> under applicable state law and provides for the severability of </w:t>
            </w:r>
            <w:r>
              <w:t>regulations invalidated for violating the bill's prohibition</w:t>
            </w:r>
            <w:r>
              <w:t>.</w:t>
            </w:r>
          </w:p>
          <w:p w:rsidR="008423E4" w:rsidRPr="00835628" w:rsidRDefault="008B4950" w:rsidP="00003D10">
            <w:pPr>
              <w:rPr>
                <w:b/>
              </w:rPr>
            </w:pPr>
          </w:p>
        </w:tc>
      </w:tr>
      <w:tr w:rsidR="00ED2969" w:rsidTr="00345119">
        <w:tc>
          <w:tcPr>
            <w:tcW w:w="9576" w:type="dxa"/>
          </w:tcPr>
          <w:p w:rsidR="008423E4" w:rsidRPr="00A8133F" w:rsidRDefault="008B4950" w:rsidP="00003D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B4950" w:rsidP="00003D10"/>
          <w:p w:rsidR="008423E4" w:rsidRPr="003624F2" w:rsidRDefault="008B4950" w:rsidP="00003D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8B4950" w:rsidP="00003D10">
            <w:pPr>
              <w:rPr>
                <w:b/>
              </w:rPr>
            </w:pPr>
          </w:p>
        </w:tc>
      </w:tr>
      <w:tr w:rsidR="00ED2969" w:rsidTr="00345119">
        <w:tc>
          <w:tcPr>
            <w:tcW w:w="9576" w:type="dxa"/>
          </w:tcPr>
          <w:p w:rsidR="00FB221F" w:rsidRDefault="008B4950" w:rsidP="00FB221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B7A65" w:rsidRDefault="008B4950" w:rsidP="00FB221F">
            <w:pPr>
              <w:jc w:val="both"/>
              <w:rPr>
                <w:b/>
                <w:u w:val="single"/>
              </w:rPr>
            </w:pPr>
          </w:p>
          <w:p w:rsidR="00E17D33" w:rsidRDefault="008B4950" w:rsidP="00E17D33">
            <w:pPr>
              <w:jc w:val="both"/>
            </w:pPr>
            <w:r>
              <w:t>While C.S.H.B. 2439 may differ from the original in minor or nonsubstantive ways, the following summarizes the substantial differences between the introduced and committee substitute versions of the bill.</w:t>
            </w:r>
          </w:p>
          <w:p w:rsidR="00E17D33" w:rsidRDefault="008B4950" w:rsidP="00E17D33">
            <w:pPr>
              <w:jc w:val="both"/>
            </w:pPr>
          </w:p>
          <w:p w:rsidR="00E17D33" w:rsidRDefault="008B4950" w:rsidP="00E17D33">
            <w:pPr>
              <w:jc w:val="both"/>
            </w:pPr>
            <w:r>
              <w:t>The substit</w:t>
            </w:r>
            <w:r>
              <w:t>ute changes the regulations subject to the bill's prohibition by:</w:t>
            </w:r>
          </w:p>
          <w:p w:rsidR="003C52A7" w:rsidRDefault="008B4950" w:rsidP="00E17D33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making the prohibition applicable to the installation </w:t>
            </w:r>
            <w:r w:rsidRPr="00A52919">
              <w:t>of a building product</w:t>
            </w:r>
            <w:r>
              <w:t xml:space="preserve"> or</w:t>
            </w:r>
            <w:r w:rsidRPr="00A52919">
              <w:t xml:space="preserve"> material</w:t>
            </w:r>
            <w:r>
              <w:t xml:space="preserve"> that meets certain conditions</w:t>
            </w:r>
            <w:r w:rsidRPr="00A52919">
              <w:t xml:space="preserve"> in the </w:t>
            </w:r>
            <w:r>
              <w:t xml:space="preserve">construction or </w:t>
            </w:r>
            <w:r w:rsidRPr="00A52919">
              <w:t xml:space="preserve">alteration of a residential or commercial </w:t>
            </w:r>
            <w:r>
              <w:t>buildin</w:t>
            </w:r>
            <w:r>
              <w:t>g;</w:t>
            </w:r>
          </w:p>
          <w:p w:rsidR="003C52A7" w:rsidRDefault="008B4950" w:rsidP="00E17D33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making the prohibition applicable </w:t>
            </w:r>
            <w:r>
              <w:t xml:space="preserve">with respect to </w:t>
            </w:r>
            <w:r>
              <w:t xml:space="preserve">any direct or indirect limit on the use or installation </w:t>
            </w:r>
            <w:r w:rsidRPr="00A52919">
              <w:t xml:space="preserve">of </w:t>
            </w:r>
            <w:r>
              <w:t xml:space="preserve">such </w:t>
            </w:r>
            <w:r w:rsidRPr="00A52919">
              <w:t>a building product</w:t>
            </w:r>
            <w:r>
              <w:t xml:space="preserve"> or</w:t>
            </w:r>
            <w:r w:rsidRPr="00A52919">
              <w:t xml:space="preserve"> material in the </w:t>
            </w:r>
            <w:r>
              <w:t xml:space="preserve">construction or </w:t>
            </w:r>
            <w:r w:rsidRPr="00A52919">
              <w:t xml:space="preserve">alteration of a residential or commercial </w:t>
            </w:r>
            <w:r>
              <w:t>building</w:t>
            </w:r>
            <w:r>
              <w:t>;</w:t>
            </w:r>
          </w:p>
          <w:p w:rsidR="00E17D33" w:rsidRDefault="008B4950" w:rsidP="00E17D33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making the prohibition applicable</w:t>
            </w:r>
            <w:r>
              <w:t xml:space="preserve"> with respect to residential or commercial buildings, rather than structures, and no longer applicable to building methods;</w:t>
            </w:r>
          </w:p>
          <w:p w:rsidR="00E17D33" w:rsidRDefault="008B4950" w:rsidP="00E17D33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specifies the national model codes under which the applicable product or material must be approved for use to be subject to the </w:t>
            </w:r>
            <w:r>
              <w:t>prohibition; and</w:t>
            </w:r>
          </w:p>
          <w:p w:rsidR="00E17D33" w:rsidRDefault="008B4950" w:rsidP="00E17D33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prohibiting the regulation from establishing any standard for a certain building product, material, or aesthetic method that is more stringent than a standard under the specified national model codes.</w:t>
            </w:r>
          </w:p>
          <w:p w:rsidR="00E17D33" w:rsidRDefault="008B4950" w:rsidP="00E17D33">
            <w:pPr>
              <w:jc w:val="both"/>
            </w:pPr>
          </w:p>
          <w:p w:rsidR="00E17D33" w:rsidRDefault="008B4950" w:rsidP="00E17D33">
            <w:pPr>
              <w:jc w:val="both"/>
            </w:pPr>
            <w:r>
              <w:t>The substitute provides several excep</w:t>
            </w:r>
            <w:r>
              <w:t>tions to the bill's prohibition, whereas the original did not provide any exception to the bill's prohibition. The substitute includes an authorization for a municipality that is not a certified local government under the federal National Historic Preserva</w:t>
            </w:r>
            <w:r>
              <w:t>tion Act to adopt and enforce certain otherwise prohibited regulations.</w:t>
            </w:r>
          </w:p>
          <w:p w:rsidR="00E17D33" w:rsidRDefault="008B4950" w:rsidP="00E17D33">
            <w:pPr>
              <w:jc w:val="both"/>
            </w:pPr>
          </w:p>
          <w:p w:rsidR="00E17D33" w:rsidRDefault="008B4950" w:rsidP="00E17D33">
            <w:pPr>
              <w:jc w:val="both"/>
            </w:pPr>
            <w:r>
              <w:t>The substitute includes a provision authorizing a governmental entity to amend a provision of an applicable building code to conform to local concerns under certain circumstances.</w:t>
            </w:r>
          </w:p>
          <w:p w:rsidR="00E17D33" w:rsidRDefault="008B4950" w:rsidP="00E17D33">
            <w:pPr>
              <w:jc w:val="both"/>
            </w:pPr>
          </w:p>
          <w:p w:rsidR="00E17D33" w:rsidRDefault="008B4950" w:rsidP="00E17D33">
            <w:pPr>
              <w:jc w:val="both"/>
            </w:pPr>
            <w:r>
              <w:t>Th</w:t>
            </w:r>
            <w:r>
              <w:t>e substitute specifies that the bill's prohibition also applies to the adoption of a building code and voids a building code that conflicts with the bill's provisions.</w:t>
            </w:r>
          </w:p>
          <w:p w:rsidR="00E17D33" w:rsidRDefault="008B4950" w:rsidP="00E17D33">
            <w:pPr>
              <w:jc w:val="both"/>
            </w:pPr>
          </w:p>
          <w:p w:rsidR="00E17D33" w:rsidRDefault="008B4950" w:rsidP="00E17D33">
            <w:pPr>
              <w:jc w:val="both"/>
            </w:pPr>
            <w:r>
              <w:t>The substitute includes an aggrieved party among those who may file an action to enjoin</w:t>
            </w:r>
            <w:r>
              <w:t xml:space="preserve"> a violation of an applicable bill provision and authorizes such an action to also be filed with respect to a threatened violation. The substitute includes a provision authorizing the court to grant appropriate relief and a provision waiving and abolishing</w:t>
            </w:r>
            <w:r>
              <w:t xml:space="preserve"> sovereign and governmental immunity to suit to the extent necessary to enforce the bill's provisions.</w:t>
            </w:r>
          </w:p>
          <w:p w:rsidR="00E17D33" w:rsidRDefault="008B4950" w:rsidP="00E17D33">
            <w:pPr>
              <w:jc w:val="both"/>
            </w:pPr>
          </w:p>
          <w:p w:rsidR="00E17D33" w:rsidRDefault="008B4950" w:rsidP="00E17D33">
            <w:pPr>
              <w:jc w:val="both"/>
            </w:pPr>
            <w:r>
              <w:t>The substitute includes a provision establishing that the bill does not affect the installation of a fire sprinkler protection system and a provision pr</w:t>
            </w:r>
            <w:r>
              <w:t>oviding for the severability of certain regulations.</w:t>
            </w:r>
          </w:p>
          <w:p w:rsidR="00E17D33" w:rsidRPr="00FB221F" w:rsidRDefault="008B4950" w:rsidP="00E17D33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8B495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B495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4950">
      <w:r>
        <w:separator/>
      </w:r>
    </w:p>
  </w:endnote>
  <w:endnote w:type="continuationSeparator" w:id="0">
    <w:p w:rsidR="00000000" w:rsidRDefault="008B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4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2969" w:rsidTr="009C1E9A">
      <w:trPr>
        <w:cantSplit/>
      </w:trPr>
      <w:tc>
        <w:tcPr>
          <w:tcW w:w="0" w:type="pct"/>
        </w:tcPr>
        <w:p w:rsidR="00137D90" w:rsidRDefault="008B49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B49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B49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B49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B49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2969" w:rsidTr="009C1E9A">
      <w:trPr>
        <w:cantSplit/>
      </w:trPr>
      <w:tc>
        <w:tcPr>
          <w:tcW w:w="0" w:type="pct"/>
        </w:tcPr>
        <w:p w:rsidR="00EC379B" w:rsidRDefault="008B49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B49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27635</w:t>
          </w:r>
        </w:p>
      </w:tc>
      <w:tc>
        <w:tcPr>
          <w:tcW w:w="2453" w:type="pct"/>
        </w:tcPr>
        <w:p w:rsidR="00EC379B" w:rsidRDefault="008B49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19.105.707</w:t>
          </w:r>
          <w:r>
            <w:fldChar w:fldCharType="end"/>
          </w:r>
        </w:p>
      </w:tc>
    </w:tr>
    <w:tr w:rsidR="00ED2969" w:rsidTr="009C1E9A">
      <w:trPr>
        <w:cantSplit/>
      </w:trPr>
      <w:tc>
        <w:tcPr>
          <w:tcW w:w="0" w:type="pct"/>
        </w:tcPr>
        <w:p w:rsidR="00EC379B" w:rsidRDefault="008B49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B49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22029</w:t>
          </w:r>
        </w:p>
      </w:tc>
      <w:tc>
        <w:tcPr>
          <w:tcW w:w="2453" w:type="pct"/>
        </w:tcPr>
        <w:p w:rsidR="00EC379B" w:rsidRDefault="008B4950" w:rsidP="006D504F">
          <w:pPr>
            <w:pStyle w:val="Footer"/>
            <w:rPr>
              <w:rStyle w:val="PageNumber"/>
            </w:rPr>
          </w:pPr>
        </w:p>
        <w:p w:rsidR="00EC379B" w:rsidRDefault="008B49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296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B49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8B495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B495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4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4950">
      <w:r>
        <w:separator/>
      </w:r>
    </w:p>
  </w:footnote>
  <w:footnote w:type="continuationSeparator" w:id="0">
    <w:p w:rsidR="00000000" w:rsidRDefault="008B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4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4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4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421"/>
    <w:multiLevelType w:val="hybridMultilevel"/>
    <w:tmpl w:val="457896E2"/>
    <w:lvl w:ilvl="0" w:tplc="979E0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ED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6A5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8C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E0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E9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40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6A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EC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BBD"/>
    <w:multiLevelType w:val="hybridMultilevel"/>
    <w:tmpl w:val="F24274DA"/>
    <w:lvl w:ilvl="0" w:tplc="81F2A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62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C7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6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E8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AE3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27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40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B7982"/>
    <w:multiLevelType w:val="hybridMultilevel"/>
    <w:tmpl w:val="7F6CF02C"/>
    <w:lvl w:ilvl="0" w:tplc="71621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69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60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83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AF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0D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EF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EC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8C4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69"/>
    <w:rsid w:val="008B4950"/>
    <w:rsid w:val="00E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EA2D22-8682-4B94-B1E7-5502C8F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26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2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26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67E"/>
    <w:rPr>
      <w:b/>
      <w:bCs/>
    </w:rPr>
  </w:style>
  <w:style w:type="paragraph" w:styleId="Revision">
    <w:name w:val="Revision"/>
    <w:hidden/>
    <w:uiPriority w:val="99"/>
    <w:semiHidden/>
    <w:rsid w:val="001160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6824</Characters>
  <Application>Microsoft Office Word</Application>
  <DocSecurity>4</DocSecurity>
  <Lines>142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HB02439 (Committee Report (Substituted))</vt:lpstr>
    </vt:vector>
  </TitlesOfParts>
  <Company>State of Texas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27635</dc:subject>
  <dc:creator>State of Texas</dc:creator>
  <dc:description>HB 2439 by Phelan-(H)State Affairs (Substitute Document Number: 86R 22029)</dc:description>
  <cp:lastModifiedBy>Stacey Nicchio</cp:lastModifiedBy>
  <cp:revision>2</cp:revision>
  <cp:lastPrinted>2003-11-26T17:21:00Z</cp:lastPrinted>
  <dcterms:created xsi:type="dcterms:W3CDTF">2019-04-16T00:06:00Z</dcterms:created>
  <dcterms:modified xsi:type="dcterms:W3CDTF">2019-04-16T00:06:00Z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19.105.707</vt:lpwstr>
  </property>
</Properties>
</file>