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2F53" w:rsidTr="00345119">
        <w:tc>
          <w:tcPr>
            <w:tcW w:w="9576" w:type="dxa"/>
            <w:noWrap/>
          </w:tcPr>
          <w:p w:rsidR="008423E4" w:rsidRPr="0022177D" w:rsidRDefault="00D978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78B6" w:rsidP="008423E4">
      <w:pPr>
        <w:jc w:val="center"/>
      </w:pPr>
    </w:p>
    <w:p w:rsidR="008423E4" w:rsidRPr="00B31F0E" w:rsidRDefault="00D978B6" w:rsidP="008423E4"/>
    <w:p w:rsidR="008423E4" w:rsidRPr="00742794" w:rsidRDefault="00D978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2F53" w:rsidTr="00345119">
        <w:tc>
          <w:tcPr>
            <w:tcW w:w="9576" w:type="dxa"/>
          </w:tcPr>
          <w:p w:rsidR="008423E4" w:rsidRPr="00861995" w:rsidRDefault="00D978B6" w:rsidP="00345119">
            <w:pPr>
              <w:jc w:val="right"/>
            </w:pPr>
            <w:r>
              <w:t>C.S.H.B. 2454</w:t>
            </w:r>
          </w:p>
        </w:tc>
      </w:tr>
      <w:tr w:rsidR="00422F53" w:rsidTr="00345119">
        <w:tc>
          <w:tcPr>
            <w:tcW w:w="9576" w:type="dxa"/>
          </w:tcPr>
          <w:p w:rsidR="008423E4" w:rsidRPr="00861995" w:rsidRDefault="00D978B6" w:rsidP="00A53581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422F53" w:rsidTr="00345119">
        <w:tc>
          <w:tcPr>
            <w:tcW w:w="9576" w:type="dxa"/>
          </w:tcPr>
          <w:p w:rsidR="008423E4" w:rsidRPr="00861995" w:rsidRDefault="00D978B6" w:rsidP="00345119">
            <w:pPr>
              <w:jc w:val="right"/>
            </w:pPr>
            <w:r>
              <w:t>Public Health</w:t>
            </w:r>
          </w:p>
        </w:tc>
      </w:tr>
      <w:tr w:rsidR="00422F53" w:rsidTr="00345119">
        <w:tc>
          <w:tcPr>
            <w:tcW w:w="9576" w:type="dxa"/>
          </w:tcPr>
          <w:p w:rsidR="008423E4" w:rsidRDefault="00D978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78B6" w:rsidP="008423E4">
      <w:pPr>
        <w:tabs>
          <w:tab w:val="right" w:pos="9360"/>
        </w:tabs>
      </w:pPr>
    </w:p>
    <w:p w:rsidR="008423E4" w:rsidRDefault="00D978B6" w:rsidP="008423E4"/>
    <w:p w:rsidR="008423E4" w:rsidRDefault="00D978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2F53" w:rsidTr="00345119">
        <w:tc>
          <w:tcPr>
            <w:tcW w:w="9576" w:type="dxa"/>
          </w:tcPr>
          <w:p w:rsidR="008423E4" w:rsidRPr="00A8133F" w:rsidRDefault="00D978B6" w:rsidP="007742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78B6" w:rsidP="00774230"/>
          <w:p w:rsidR="008423E4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</w:t>
            </w:r>
            <w:r>
              <w:t>are concerns that health</w:t>
            </w:r>
            <w:r>
              <w:t xml:space="preserve"> </w:t>
            </w:r>
            <w:r>
              <w:t xml:space="preserve">care professionals should be </w:t>
            </w:r>
            <w:r>
              <w:t>more informed</w:t>
            </w:r>
            <w:r>
              <w:t xml:space="preserve"> regarding pain management and opioid abuse.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2454 </w:t>
            </w:r>
            <w:r>
              <w:t xml:space="preserve">seeks to address this issue by requiring </w:t>
            </w:r>
            <w:r>
              <w:t>certain health</w:t>
            </w:r>
            <w:r>
              <w:t xml:space="preserve"> </w:t>
            </w:r>
            <w:r>
              <w:t xml:space="preserve">care professionals to complete continuing </w:t>
            </w:r>
            <w:r>
              <w:t xml:space="preserve">medical </w:t>
            </w:r>
            <w:r>
              <w:t xml:space="preserve">education </w:t>
            </w:r>
            <w:r>
              <w:t>on this topic.</w:t>
            </w:r>
            <w:r>
              <w:t xml:space="preserve"> </w:t>
            </w:r>
          </w:p>
          <w:p w:rsidR="008423E4" w:rsidRPr="00E26B13" w:rsidRDefault="00D978B6" w:rsidP="00774230">
            <w:pPr>
              <w:rPr>
                <w:b/>
              </w:rPr>
            </w:pPr>
          </w:p>
        </w:tc>
      </w:tr>
      <w:tr w:rsidR="00422F53" w:rsidTr="00345119">
        <w:tc>
          <w:tcPr>
            <w:tcW w:w="9576" w:type="dxa"/>
          </w:tcPr>
          <w:p w:rsidR="0017725B" w:rsidRDefault="00D978B6" w:rsidP="007742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78B6" w:rsidP="00774230">
            <w:pPr>
              <w:rPr>
                <w:b/>
                <w:u w:val="single"/>
              </w:rPr>
            </w:pPr>
          </w:p>
          <w:p w:rsidR="00351186" w:rsidRPr="00351186" w:rsidRDefault="00D978B6" w:rsidP="00774230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978B6" w:rsidP="00774230">
            <w:pPr>
              <w:rPr>
                <w:b/>
                <w:u w:val="single"/>
              </w:rPr>
            </w:pPr>
          </w:p>
        </w:tc>
      </w:tr>
      <w:tr w:rsidR="00422F53" w:rsidTr="00345119">
        <w:tc>
          <w:tcPr>
            <w:tcW w:w="9576" w:type="dxa"/>
          </w:tcPr>
          <w:p w:rsidR="008423E4" w:rsidRPr="00A8133F" w:rsidRDefault="00D978B6" w:rsidP="007742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78B6" w:rsidP="00774230"/>
          <w:p w:rsidR="00351186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</w:t>
            </w:r>
            <w:r>
              <w:t>is expressly granted to the Texas Medical Board in SECTION 1 of this bill.</w:t>
            </w:r>
          </w:p>
          <w:p w:rsidR="008423E4" w:rsidRPr="00E21FDC" w:rsidRDefault="00D978B6" w:rsidP="00774230">
            <w:pPr>
              <w:rPr>
                <w:b/>
              </w:rPr>
            </w:pPr>
          </w:p>
        </w:tc>
      </w:tr>
      <w:tr w:rsidR="00422F53" w:rsidTr="00345119">
        <w:tc>
          <w:tcPr>
            <w:tcW w:w="9576" w:type="dxa"/>
          </w:tcPr>
          <w:p w:rsidR="008423E4" w:rsidRPr="00A8133F" w:rsidRDefault="00D978B6" w:rsidP="007742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78B6" w:rsidP="00774230"/>
          <w:p w:rsidR="00E64DFD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2454 amends the Occupations Code to </w:t>
            </w:r>
            <w:r>
              <w:t xml:space="preserve">require </w:t>
            </w:r>
            <w:r>
              <w:t>a licensed physician</w:t>
            </w:r>
            <w:r>
              <w:t xml:space="preserve"> </w:t>
            </w:r>
            <w:r w:rsidRPr="0019790C">
              <w:t xml:space="preserve">who submits an application for renewal of a license that designates a direct patient care </w:t>
            </w:r>
            <w:r w:rsidRPr="0019790C">
              <w:t>practice</w:t>
            </w:r>
            <w:r>
              <w:t xml:space="preserve">, </w:t>
            </w:r>
            <w:r w:rsidRPr="0019403B">
              <w:t>without regard to whether</w:t>
            </w:r>
            <w:r>
              <w:t xml:space="preserve"> the practice includes treating patients for pain,</w:t>
            </w:r>
            <w:r>
              <w:t xml:space="preserve"> </w:t>
            </w:r>
            <w:r>
              <w:t>to complete</w:t>
            </w:r>
            <w:r>
              <w:t xml:space="preserve"> </w:t>
            </w:r>
            <w:r w:rsidRPr="00F40228">
              <w:t xml:space="preserve">not less than two hours of continuing medical education regarding </w:t>
            </w:r>
            <w:r>
              <w:t xml:space="preserve">safe and effective </w:t>
            </w:r>
            <w:r w:rsidRPr="00F40228">
              <w:t>pain management</w:t>
            </w:r>
            <w:r>
              <w:t xml:space="preserve"> </w:t>
            </w:r>
            <w:r w:rsidRPr="00E64DFD">
              <w:t xml:space="preserve">related to the prescription of opioids </w:t>
            </w:r>
            <w:r>
              <w:t>and other controll</w:t>
            </w:r>
            <w:r>
              <w:t>ed substances</w:t>
            </w:r>
            <w:r w:rsidRPr="00F40228">
              <w:t>, including education regarding</w:t>
            </w:r>
            <w:r>
              <w:t>:</w:t>
            </w:r>
          </w:p>
          <w:p w:rsidR="00E64DFD" w:rsidRDefault="00D978B6" w:rsidP="007742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40228">
              <w:t>the reasonable standard of care</w:t>
            </w:r>
            <w:r>
              <w:t>;</w:t>
            </w:r>
          </w:p>
          <w:p w:rsidR="00E64DFD" w:rsidRDefault="00D978B6" w:rsidP="007742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identification of drug-seeking behavior in patients; and</w:t>
            </w:r>
          </w:p>
          <w:p w:rsidR="00E64DFD" w:rsidRDefault="00D978B6" w:rsidP="007742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64DFD">
              <w:t>effectively communicating with patients regarding the prescription of an opioid or other controlled substance.</w:t>
            </w:r>
          </w:p>
          <w:p w:rsidR="00B97C15" w:rsidRDefault="00D978B6" w:rsidP="00B97C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</w:t>
            </w:r>
            <w:r>
              <w:t xml:space="preserve">ill requires a physician to complete the continuing medical education hours </w:t>
            </w:r>
            <w:r w:rsidRPr="00D74BBA">
              <w:t>in each of the first two renewal periods following the issuance of the physician's initial registration permit, with two of those hours to be completed not later than the first ann</w:t>
            </w:r>
            <w:r w:rsidRPr="00D74BBA">
              <w:t>iversary of the date of issuance.</w:t>
            </w:r>
            <w:r>
              <w:t xml:space="preserve"> The bill requires a physician, after such period, to </w:t>
            </w:r>
            <w:r w:rsidRPr="00D74BBA">
              <w:t xml:space="preserve">complete not less than two hours of </w:t>
            </w:r>
            <w:r>
              <w:t xml:space="preserve">the </w:t>
            </w:r>
            <w:r w:rsidRPr="00D74BBA">
              <w:t>continuing medical education</w:t>
            </w:r>
            <w:r>
              <w:t xml:space="preserve"> every eight years.</w:t>
            </w:r>
            <w:r>
              <w:t xml:space="preserve"> </w:t>
            </w:r>
            <w:r>
              <w:t xml:space="preserve">The bill authorizes the continuing education to </w:t>
            </w:r>
            <w:r w:rsidRPr="00F55ED4">
              <w:t xml:space="preserve">be completed in any </w:t>
            </w:r>
            <w:r>
              <w:t>Texas Medical</w:t>
            </w:r>
            <w:r>
              <w:t xml:space="preserve"> Board (TMB)-approved </w:t>
            </w:r>
            <w:r w:rsidRPr="00F55ED4">
              <w:t>continuing medical education activity, including medical ethics or professional responsibility education</w:t>
            </w:r>
            <w:r>
              <w:t>.</w:t>
            </w:r>
            <w:r w:rsidRPr="00F55ED4">
              <w:t xml:space="preserve"> </w:t>
            </w:r>
            <w:r>
              <w:t xml:space="preserve">The bill prohibits the required continuing medical education hours from being used to </w:t>
            </w:r>
            <w:r w:rsidRPr="00013EE7">
              <w:t xml:space="preserve">satisfy any education required by </w:t>
            </w:r>
            <w:r>
              <w:t>TMB</w:t>
            </w:r>
            <w:r w:rsidRPr="00013EE7">
              <w:t xml:space="preserve"> rule for certified pain clinic personnel.</w:t>
            </w:r>
            <w:r>
              <w:t xml:space="preserve"> The bill requires the TMB to adopt rules to implement the bill's continuing education requirement</w:t>
            </w:r>
            <w:r>
              <w:t>s</w:t>
            </w:r>
            <w:r>
              <w:t xml:space="preserve">. </w:t>
            </w:r>
            <w:r>
              <w:t xml:space="preserve">The bill adds a temporary provision set to expire January 1, 2026, requiring a </w:t>
            </w:r>
            <w:r w:rsidRPr="006C05A7">
              <w:t xml:space="preserve">physician who on January 1, 2021, </w:t>
            </w:r>
            <w:r w:rsidRPr="006C05A7">
              <w:t xml:space="preserve">holds a license to practice medicine </w:t>
            </w:r>
            <w:r>
              <w:t>to</w:t>
            </w:r>
            <w:r w:rsidRPr="006C05A7">
              <w:t xml:space="preserve"> complete not less than two hours of </w:t>
            </w:r>
            <w:r>
              <w:t xml:space="preserve">the </w:t>
            </w:r>
            <w:r w:rsidRPr="006C05A7">
              <w:t>continuing medical education in each of the two renewal periods occurring after that date</w:t>
            </w:r>
            <w:r>
              <w:t>.</w:t>
            </w:r>
          </w:p>
          <w:p w:rsidR="00B97C15" w:rsidRDefault="00D978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B733B" w:rsidRDefault="00D978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2454</w:t>
            </w:r>
            <w:r>
              <w:t xml:space="preserve"> </w:t>
            </w:r>
            <w:r>
              <w:t xml:space="preserve">requires </w:t>
            </w:r>
            <w:r>
              <w:t xml:space="preserve">the </w:t>
            </w:r>
            <w:r>
              <w:t>TMB</w:t>
            </w:r>
            <w:r>
              <w:t xml:space="preserve">, the Texas Board of Nursing, and the Texas Physician </w:t>
            </w:r>
            <w:r>
              <w:t>Assistan</w:t>
            </w:r>
            <w:r>
              <w:t>t</w:t>
            </w:r>
            <w:r>
              <w:t xml:space="preserve"> Board to jointly develop a process to </w:t>
            </w:r>
            <w:r w:rsidRPr="007F2D2B">
              <w:t>ensure that each advanced practice registered nurse or physician assistant who has entered into a prescriptive authority agreement authorizing the prescribing of opioids is required to</w:t>
            </w:r>
            <w:r>
              <w:t xml:space="preserve"> annually</w:t>
            </w:r>
            <w:r w:rsidRPr="007F2D2B">
              <w:t xml:space="preserve"> complete not l</w:t>
            </w:r>
            <w:r w:rsidRPr="007F2D2B">
              <w:t xml:space="preserve">ess than two hours of </w:t>
            </w:r>
            <w:r>
              <w:t>the</w:t>
            </w:r>
            <w:r>
              <w:t xml:space="preserve"> </w:t>
            </w:r>
            <w:r w:rsidRPr="007F2D2B">
              <w:t xml:space="preserve">continuing </w:t>
            </w:r>
            <w:r>
              <w:t xml:space="preserve">medical </w:t>
            </w:r>
            <w:r w:rsidRPr="007F2D2B">
              <w:t>education</w:t>
            </w:r>
            <w:r>
              <w:t xml:space="preserve">. The bill requires the State Board of Dental Examiners (SBDE) to </w:t>
            </w:r>
            <w:r w:rsidRPr="00351186">
              <w:t xml:space="preserve">require a licensed dentist whose practice includes direct patient care to </w:t>
            </w:r>
            <w:r>
              <w:t xml:space="preserve">annually </w:t>
            </w:r>
            <w:r w:rsidRPr="00351186">
              <w:t>complete</w:t>
            </w:r>
            <w:r>
              <w:t xml:space="preserve"> not less than two hours of SBDE</w:t>
            </w:r>
            <w:r w:rsidRPr="00351186">
              <w:t>-approved con</w:t>
            </w:r>
            <w:r w:rsidRPr="00351186">
              <w:t>tinuing education</w:t>
            </w:r>
            <w:r>
              <w:t xml:space="preserve"> </w:t>
            </w:r>
            <w:r>
              <w:t>related</w:t>
            </w:r>
            <w:r>
              <w:t xml:space="preserve"> </w:t>
            </w:r>
            <w:r w:rsidRPr="00E64DFD">
              <w:t xml:space="preserve">to the prescription of opioids </w:t>
            </w:r>
            <w:r>
              <w:t>and other controlled substances</w:t>
            </w:r>
            <w:r>
              <w:t xml:space="preserve"> that includes the same components as the continuing medical education approved by the TMB</w:t>
            </w:r>
            <w:r>
              <w:t xml:space="preserve">. </w:t>
            </w:r>
          </w:p>
          <w:p w:rsidR="00FF058D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51186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2454 </w:t>
            </w:r>
            <w:r w:rsidRPr="00351186">
              <w:t>applies only to an application for renewal of a registration</w:t>
            </w:r>
            <w:r w:rsidRPr="00351186">
              <w:t xml:space="preserve"> permit or license submitted on or after January 1, </w:t>
            </w:r>
            <w:r>
              <w:t>2021</w:t>
            </w:r>
            <w:r w:rsidRPr="00351186">
              <w:t>.</w:t>
            </w:r>
          </w:p>
          <w:p w:rsidR="008423E4" w:rsidRPr="00835628" w:rsidRDefault="00D978B6" w:rsidP="00774230">
            <w:pPr>
              <w:rPr>
                <w:b/>
              </w:rPr>
            </w:pPr>
          </w:p>
        </w:tc>
      </w:tr>
      <w:tr w:rsidR="00422F53" w:rsidTr="00345119">
        <w:tc>
          <w:tcPr>
            <w:tcW w:w="9576" w:type="dxa"/>
          </w:tcPr>
          <w:p w:rsidR="008423E4" w:rsidRPr="00A8133F" w:rsidRDefault="00D978B6" w:rsidP="007742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78B6" w:rsidP="00774230"/>
          <w:p w:rsidR="008423E4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51186">
              <w:t>September 1, 2019.</w:t>
            </w:r>
          </w:p>
          <w:p w:rsidR="00EE108C" w:rsidRPr="00233FDB" w:rsidRDefault="00D978B6" w:rsidP="00774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22F53" w:rsidTr="00345119">
        <w:tc>
          <w:tcPr>
            <w:tcW w:w="9576" w:type="dxa"/>
          </w:tcPr>
          <w:p w:rsidR="00A53581" w:rsidRDefault="00D978B6" w:rsidP="00A535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E108C" w:rsidRDefault="00D978B6" w:rsidP="00A53581">
            <w:pPr>
              <w:jc w:val="both"/>
              <w:rPr>
                <w:b/>
                <w:u w:val="single"/>
              </w:rPr>
            </w:pPr>
          </w:p>
          <w:p w:rsidR="00773686" w:rsidRDefault="00D978B6" w:rsidP="00773686">
            <w:pPr>
              <w:jc w:val="both"/>
            </w:pPr>
            <w:r>
              <w:t xml:space="preserve">While C.S.H.B. 2454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 xml:space="preserve">The substitute revises the content of the continuing medical education </w:t>
            </w:r>
            <w:r w:rsidRPr="0075263E">
              <w:t>regarding safe and effective pain management relat</w:t>
            </w:r>
            <w:r>
              <w:t>ed</w:t>
            </w:r>
            <w:r w:rsidRPr="0075263E">
              <w:t xml:space="preserve"> to the prescription of opioids and ot</w:t>
            </w:r>
            <w:r w:rsidRPr="0075263E">
              <w:t>her controlled substances</w:t>
            </w:r>
            <w:r>
              <w:t>.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 xml:space="preserve">The substitute includes provisions setting out the frequency with which a physician </w:t>
            </w:r>
            <w:r>
              <w:t xml:space="preserve">and a dentist are </w:t>
            </w:r>
            <w:r>
              <w:t xml:space="preserve">required to complete the continuing medical education and </w:t>
            </w:r>
            <w:r>
              <w:t xml:space="preserve">provisions relating to </w:t>
            </w:r>
            <w:r>
              <w:t>the minimum hours required</w:t>
            </w:r>
            <w:r>
              <w:t xml:space="preserve"> for a physician</w:t>
            </w:r>
            <w:r>
              <w:t xml:space="preserve">. 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 xml:space="preserve">The substitute includes an authorization for the continuing medical education to </w:t>
            </w:r>
            <w:r w:rsidRPr="00503530">
              <w:t xml:space="preserve">be completed in any </w:t>
            </w:r>
            <w:r>
              <w:t xml:space="preserve">TMB-approved </w:t>
            </w:r>
            <w:r w:rsidRPr="00503530">
              <w:t>continuing medical education</w:t>
            </w:r>
            <w:r>
              <w:t xml:space="preserve"> activity. 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 xml:space="preserve">The substitute includes a prohibition against the continuing medical education being used to satisfy any education </w:t>
            </w:r>
            <w:r w:rsidRPr="00503530">
              <w:t>for certified pain clinic personnel</w:t>
            </w:r>
            <w:r>
              <w:t xml:space="preserve"> required by TMB rule.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 xml:space="preserve">The substitute includes a requirement for the TMB to adopt rules to implement the </w:t>
            </w:r>
            <w:r>
              <w:t>continuing medical education requirement for a physician.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 xml:space="preserve">The substitute changes the frequency with which </w:t>
            </w:r>
            <w:r w:rsidRPr="00903B17">
              <w:t xml:space="preserve">each </w:t>
            </w:r>
            <w:r>
              <w:t xml:space="preserve">applicable </w:t>
            </w:r>
            <w:r w:rsidRPr="00903B17">
              <w:t xml:space="preserve">advanced practice registered nurse or physician assistant </w:t>
            </w:r>
            <w:r>
              <w:t>is required to complete the continuing medical education.</w:t>
            </w:r>
          </w:p>
          <w:p w:rsidR="00773686" w:rsidRDefault="00D978B6" w:rsidP="00773686">
            <w:pPr>
              <w:jc w:val="both"/>
            </w:pPr>
          </w:p>
          <w:p w:rsidR="00773686" w:rsidRDefault="00D978B6" w:rsidP="00773686">
            <w:pPr>
              <w:jc w:val="both"/>
            </w:pPr>
            <w:r>
              <w:t>The substitute c</w:t>
            </w:r>
            <w:r>
              <w:t xml:space="preserve">hanges the date the bill's provisions apply </w:t>
            </w:r>
            <w:r w:rsidRPr="00903B17">
              <w:t>to an application for renewal of a registration permit or license</w:t>
            </w:r>
            <w:r>
              <w:t>.</w:t>
            </w:r>
          </w:p>
          <w:p w:rsidR="00773686" w:rsidRPr="00A53581" w:rsidRDefault="00D978B6" w:rsidP="00A53581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D978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78B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8B6">
      <w:r>
        <w:separator/>
      </w:r>
    </w:p>
  </w:endnote>
  <w:endnote w:type="continuationSeparator" w:id="0">
    <w:p w:rsidR="00000000" w:rsidRDefault="00D9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2F53" w:rsidTr="009C1E9A">
      <w:trPr>
        <w:cantSplit/>
      </w:trPr>
      <w:tc>
        <w:tcPr>
          <w:tcW w:w="0" w:type="pct"/>
        </w:tcPr>
        <w:p w:rsidR="00137D90" w:rsidRDefault="00D97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78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78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7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7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F53" w:rsidTr="009C1E9A">
      <w:trPr>
        <w:cantSplit/>
      </w:trPr>
      <w:tc>
        <w:tcPr>
          <w:tcW w:w="0" w:type="pct"/>
        </w:tcPr>
        <w:p w:rsidR="00EC379B" w:rsidRDefault="00D97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78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28042</w:t>
          </w:r>
        </w:p>
      </w:tc>
      <w:tc>
        <w:tcPr>
          <w:tcW w:w="2453" w:type="pct"/>
        </w:tcPr>
        <w:p w:rsidR="00EC379B" w:rsidRDefault="00D97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19.106.652</w:t>
          </w:r>
          <w:r>
            <w:fldChar w:fldCharType="end"/>
          </w:r>
        </w:p>
      </w:tc>
    </w:tr>
    <w:tr w:rsidR="00422F53" w:rsidTr="009C1E9A">
      <w:trPr>
        <w:cantSplit/>
      </w:trPr>
      <w:tc>
        <w:tcPr>
          <w:tcW w:w="0" w:type="pct"/>
        </w:tcPr>
        <w:p w:rsidR="00EC379B" w:rsidRDefault="00D978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78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24757</w:t>
          </w:r>
        </w:p>
      </w:tc>
      <w:tc>
        <w:tcPr>
          <w:tcW w:w="2453" w:type="pct"/>
        </w:tcPr>
        <w:p w:rsidR="00EC379B" w:rsidRDefault="00D978B6" w:rsidP="006D504F">
          <w:pPr>
            <w:pStyle w:val="Footer"/>
            <w:rPr>
              <w:rStyle w:val="PageNumber"/>
            </w:rPr>
          </w:pPr>
        </w:p>
        <w:p w:rsidR="00EC379B" w:rsidRDefault="00D97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F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78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978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78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8B6">
      <w:r>
        <w:separator/>
      </w:r>
    </w:p>
  </w:footnote>
  <w:footnote w:type="continuationSeparator" w:id="0">
    <w:p w:rsidR="00000000" w:rsidRDefault="00D9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1CF6"/>
    <w:multiLevelType w:val="hybridMultilevel"/>
    <w:tmpl w:val="13C0315A"/>
    <w:lvl w:ilvl="0" w:tplc="9AAAFA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2304DC16" w:tentative="1">
      <w:start w:val="1"/>
      <w:numFmt w:val="lowerLetter"/>
      <w:lvlText w:val="%2."/>
      <w:lvlJc w:val="left"/>
      <w:pPr>
        <w:ind w:left="1440" w:hanging="360"/>
      </w:pPr>
    </w:lvl>
    <w:lvl w:ilvl="2" w:tplc="BA087E06" w:tentative="1">
      <w:start w:val="1"/>
      <w:numFmt w:val="lowerRoman"/>
      <w:lvlText w:val="%3."/>
      <w:lvlJc w:val="right"/>
      <w:pPr>
        <w:ind w:left="2160" w:hanging="180"/>
      </w:pPr>
    </w:lvl>
    <w:lvl w:ilvl="3" w:tplc="11983288" w:tentative="1">
      <w:start w:val="1"/>
      <w:numFmt w:val="decimal"/>
      <w:lvlText w:val="%4."/>
      <w:lvlJc w:val="left"/>
      <w:pPr>
        <w:ind w:left="2880" w:hanging="360"/>
      </w:pPr>
    </w:lvl>
    <w:lvl w:ilvl="4" w:tplc="0882AC16" w:tentative="1">
      <w:start w:val="1"/>
      <w:numFmt w:val="lowerLetter"/>
      <w:lvlText w:val="%5."/>
      <w:lvlJc w:val="left"/>
      <w:pPr>
        <w:ind w:left="3600" w:hanging="360"/>
      </w:pPr>
    </w:lvl>
    <w:lvl w:ilvl="5" w:tplc="5BB8F602" w:tentative="1">
      <w:start w:val="1"/>
      <w:numFmt w:val="lowerRoman"/>
      <w:lvlText w:val="%6."/>
      <w:lvlJc w:val="right"/>
      <w:pPr>
        <w:ind w:left="4320" w:hanging="180"/>
      </w:pPr>
    </w:lvl>
    <w:lvl w:ilvl="6" w:tplc="3F784304" w:tentative="1">
      <w:start w:val="1"/>
      <w:numFmt w:val="decimal"/>
      <w:lvlText w:val="%7."/>
      <w:lvlJc w:val="left"/>
      <w:pPr>
        <w:ind w:left="5040" w:hanging="360"/>
      </w:pPr>
    </w:lvl>
    <w:lvl w:ilvl="7" w:tplc="85929244" w:tentative="1">
      <w:start w:val="1"/>
      <w:numFmt w:val="lowerLetter"/>
      <w:lvlText w:val="%8."/>
      <w:lvlJc w:val="left"/>
      <w:pPr>
        <w:ind w:left="5760" w:hanging="360"/>
      </w:pPr>
    </w:lvl>
    <w:lvl w:ilvl="8" w:tplc="CF8E0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87A"/>
    <w:multiLevelType w:val="hybridMultilevel"/>
    <w:tmpl w:val="D294FFC0"/>
    <w:lvl w:ilvl="0" w:tplc="10A2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27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CD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4F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6C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8E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9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C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0F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578F"/>
    <w:multiLevelType w:val="hybridMultilevel"/>
    <w:tmpl w:val="A3163634"/>
    <w:lvl w:ilvl="0" w:tplc="13F4F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CA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AA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8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07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EE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4C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2E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80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30F9"/>
    <w:multiLevelType w:val="hybridMultilevel"/>
    <w:tmpl w:val="9A54F352"/>
    <w:lvl w:ilvl="0" w:tplc="241A4896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B424DF6" w:tentative="1">
      <w:start w:val="1"/>
      <w:numFmt w:val="lowerLetter"/>
      <w:lvlText w:val="%2."/>
      <w:lvlJc w:val="left"/>
      <w:pPr>
        <w:ind w:left="1440" w:hanging="360"/>
      </w:pPr>
    </w:lvl>
    <w:lvl w:ilvl="2" w:tplc="4F9690E8" w:tentative="1">
      <w:start w:val="1"/>
      <w:numFmt w:val="lowerRoman"/>
      <w:lvlText w:val="%3."/>
      <w:lvlJc w:val="right"/>
      <w:pPr>
        <w:ind w:left="2160" w:hanging="180"/>
      </w:pPr>
    </w:lvl>
    <w:lvl w:ilvl="3" w:tplc="92B47032" w:tentative="1">
      <w:start w:val="1"/>
      <w:numFmt w:val="decimal"/>
      <w:lvlText w:val="%4."/>
      <w:lvlJc w:val="left"/>
      <w:pPr>
        <w:ind w:left="2880" w:hanging="360"/>
      </w:pPr>
    </w:lvl>
    <w:lvl w:ilvl="4" w:tplc="AE92885E" w:tentative="1">
      <w:start w:val="1"/>
      <w:numFmt w:val="lowerLetter"/>
      <w:lvlText w:val="%5."/>
      <w:lvlJc w:val="left"/>
      <w:pPr>
        <w:ind w:left="3600" w:hanging="360"/>
      </w:pPr>
    </w:lvl>
    <w:lvl w:ilvl="5" w:tplc="11624C08" w:tentative="1">
      <w:start w:val="1"/>
      <w:numFmt w:val="lowerRoman"/>
      <w:lvlText w:val="%6."/>
      <w:lvlJc w:val="right"/>
      <w:pPr>
        <w:ind w:left="4320" w:hanging="180"/>
      </w:pPr>
    </w:lvl>
    <w:lvl w:ilvl="6" w:tplc="207A3C70" w:tentative="1">
      <w:start w:val="1"/>
      <w:numFmt w:val="decimal"/>
      <w:lvlText w:val="%7."/>
      <w:lvlJc w:val="left"/>
      <w:pPr>
        <w:ind w:left="5040" w:hanging="360"/>
      </w:pPr>
    </w:lvl>
    <w:lvl w:ilvl="7" w:tplc="017EA388" w:tentative="1">
      <w:start w:val="1"/>
      <w:numFmt w:val="lowerLetter"/>
      <w:lvlText w:val="%8."/>
      <w:lvlJc w:val="left"/>
      <w:pPr>
        <w:ind w:left="5760" w:hanging="360"/>
      </w:pPr>
    </w:lvl>
    <w:lvl w:ilvl="8" w:tplc="2FDC8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3A9E"/>
    <w:multiLevelType w:val="hybridMultilevel"/>
    <w:tmpl w:val="E5A206B2"/>
    <w:lvl w:ilvl="0" w:tplc="6C846C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12C61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BA2B5A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C08CFD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2BA00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1F425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35225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B40E6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0E0B3D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53"/>
    <w:rsid w:val="00422F53"/>
    <w:rsid w:val="00D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531D5-AD8E-4B49-84C7-B966BF5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02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0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02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4318</Characters>
  <Application>Microsoft Office Word</Application>
  <DocSecurity>4</DocSecurity>
  <Lines>99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HB02454 (Committee Report (Substituted))</vt:lpstr>
    </vt:vector>
  </TitlesOfParts>
  <Company>State of Texas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28042</dc:subject>
  <dc:creator>State of Texas</dc:creator>
  <dc:description>HB 2454 by Price-(H)Public Health (Substitute Document Number: 86R 24757)</dc:description>
  <cp:lastModifiedBy>Stacey Nicchio</cp:lastModifiedBy>
  <cp:revision>2</cp:revision>
  <cp:lastPrinted>2003-11-26T17:21:00Z</cp:lastPrinted>
  <dcterms:created xsi:type="dcterms:W3CDTF">2019-04-18T21:50:00Z</dcterms:created>
  <dcterms:modified xsi:type="dcterms:W3CDTF">2019-04-18T21:50:00Z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19.106.652</vt:lpwstr>
  </property>
</Properties>
</file>