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16891" w:rsidTr="00345119">
        <w:tc>
          <w:tcPr>
            <w:tcW w:w="9576" w:type="dxa"/>
            <w:noWrap/>
          </w:tcPr>
          <w:p w:rsidR="008423E4" w:rsidRPr="0022177D" w:rsidRDefault="003B582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B5825" w:rsidP="008423E4">
      <w:pPr>
        <w:jc w:val="center"/>
      </w:pPr>
    </w:p>
    <w:p w:rsidR="008423E4" w:rsidRPr="00B31F0E" w:rsidRDefault="003B5825" w:rsidP="008423E4"/>
    <w:p w:rsidR="008423E4" w:rsidRPr="00742794" w:rsidRDefault="003B582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16891" w:rsidTr="00345119">
        <w:tc>
          <w:tcPr>
            <w:tcW w:w="9576" w:type="dxa"/>
          </w:tcPr>
          <w:p w:rsidR="008423E4" w:rsidRPr="00861995" w:rsidRDefault="003B5825" w:rsidP="00345119">
            <w:pPr>
              <w:jc w:val="right"/>
            </w:pPr>
            <w:r>
              <w:t>C.S.H.B. 2486</w:t>
            </w:r>
          </w:p>
        </w:tc>
      </w:tr>
      <w:tr w:rsidR="00716891" w:rsidTr="00345119">
        <w:tc>
          <w:tcPr>
            <w:tcW w:w="9576" w:type="dxa"/>
          </w:tcPr>
          <w:p w:rsidR="008423E4" w:rsidRPr="00861995" w:rsidRDefault="003B5825" w:rsidP="00131346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716891" w:rsidTr="00345119">
        <w:tc>
          <w:tcPr>
            <w:tcW w:w="9576" w:type="dxa"/>
          </w:tcPr>
          <w:p w:rsidR="008423E4" w:rsidRPr="00861995" w:rsidRDefault="003B5825" w:rsidP="00345119">
            <w:pPr>
              <w:jc w:val="right"/>
            </w:pPr>
            <w:r>
              <w:t>Insurance</w:t>
            </w:r>
          </w:p>
        </w:tc>
      </w:tr>
      <w:tr w:rsidR="00716891" w:rsidTr="00345119">
        <w:tc>
          <w:tcPr>
            <w:tcW w:w="9576" w:type="dxa"/>
          </w:tcPr>
          <w:p w:rsidR="008423E4" w:rsidRDefault="003B582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B5825" w:rsidP="008423E4">
      <w:pPr>
        <w:tabs>
          <w:tab w:val="right" w:pos="9360"/>
        </w:tabs>
      </w:pPr>
    </w:p>
    <w:p w:rsidR="008423E4" w:rsidRDefault="003B5825" w:rsidP="008423E4"/>
    <w:p w:rsidR="008423E4" w:rsidRDefault="003B582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16891" w:rsidTr="00345119">
        <w:tc>
          <w:tcPr>
            <w:tcW w:w="9576" w:type="dxa"/>
          </w:tcPr>
          <w:p w:rsidR="008423E4" w:rsidRPr="00A8133F" w:rsidRDefault="003B5825" w:rsidP="00C85F8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B5825" w:rsidP="00C85F81"/>
          <w:p w:rsidR="008423E4" w:rsidRDefault="003B5825" w:rsidP="00C85F81">
            <w:pPr>
              <w:pStyle w:val="Header"/>
              <w:jc w:val="both"/>
            </w:pPr>
            <w:r>
              <w:t>It has been suggested that</w:t>
            </w:r>
            <w:r>
              <w:t xml:space="preserve"> </w:t>
            </w:r>
            <w:r>
              <w:t>d</w:t>
            </w:r>
            <w:r>
              <w:t xml:space="preserve">ental patients and dentists need timely and accurate information about benefits to verify patients' </w:t>
            </w:r>
            <w:r>
              <w:t>enrollment, eligibility</w:t>
            </w:r>
            <w:r>
              <w:t>,</w:t>
            </w:r>
            <w:r>
              <w:t xml:space="preserve"> and scope of benefits. </w:t>
            </w:r>
            <w:r>
              <w:t>C.S.H.B.</w:t>
            </w:r>
            <w:r>
              <w:t xml:space="preserve"> 2486 </w:t>
            </w:r>
            <w:r>
              <w:t>seeks to address this issue by</w:t>
            </w:r>
            <w:r>
              <w:t xml:space="preserve"> </w:t>
            </w:r>
            <w:r>
              <w:t xml:space="preserve">requiring </w:t>
            </w:r>
            <w:r>
              <w:t xml:space="preserve">certain entities to use a website to make more patient and benefit information available to patients and certain health care providers. </w:t>
            </w:r>
          </w:p>
          <w:p w:rsidR="008423E4" w:rsidRPr="00E26B13" w:rsidRDefault="003B5825" w:rsidP="00C85F81">
            <w:pPr>
              <w:rPr>
                <w:b/>
              </w:rPr>
            </w:pPr>
          </w:p>
        </w:tc>
      </w:tr>
      <w:tr w:rsidR="00716891" w:rsidTr="00345119">
        <w:tc>
          <w:tcPr>
            <w:tcW w:w="9576" w:type="dxa"/>
          </w:tcPr>
          <w:p w:rsidR="0017725B" w:rsidRDefault="003B5825" w:rsidP="00C85F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</w:t>
            </w:r>
            <w:r>
              <w:rPr>
                <w:b/>
                <w:u w:val="single"/>
              </w:rPr>
              <w:t>CE IMPACT</w:t>
            </w:r>
          </w:p>
          <w:p w:rsidR="0017725B" w:rsidRDefault="003B5825" w:rsidP="00C85F81">
            <w:pPr>
              <w:rPr>
                <w:b/>
                <w:u w:val="single"/>
              </w:rPr>
            </w:pPr>
          </w:p>
          <w:p w:rsidR="006965AC" w:rsidRPr="006965AC" w:rsidRDefault="003B5825" w:rsidP="00C85F8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</w:t>
            </w:r>
            <w:r>
              <w:t xml:space="preserve"> or mandatory supervision.</w:t>
            </w:r>
          </w:p>
          <w:p w:rsidR="0017725B" w:rsidRPr="0017725B" w:rsidRDefault="003B5825" w:rsidP="00C85F81">
            <w:pPr>
              <w:rPr>
                <w:b/>
                <w:u w:val="single"/>
              </w:rPr>
            </w:pPr>
          </w:p>
        </w:tc>
      </w:tr>
      <w:tr w:rsidR="00716891" w:rsidTr="00345119">
        <w:tc>
          <w:tcPr>
            <w:tcW w:w="9576" w:type="dxa"/>
          </w:tcPr>
          <w:p w:rsidR="008423E4" w:rsidRPr="00A8133F" w:rsidRDefault="003B5825" w:rsidP="00C85F8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B5825" w:rsidP="00C85F81"/>
          <w:p w:rsidR="006965AC" w:rsidRDefault="003B5825" w:rsidP="00C85F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B5825" w:rsidP="00C85F81">
            <w:pPr>
              <w:rPr>
                <w:b/>
              </w:rPr>
            </w:pPr>
          </w:p>
        </w:tc>
      </w:tr>
      <w:tr w:rsidR="00716891" w:rsidTr="00345119">
        <w:tc>
          <w:tcPr>
            <w:tcW w:w="9576" w:type="dxa"/>
          </w:tcPr>
          <w:p w:rsidR="008423E4" w:rsidRPr="00A8133F" w:rsidRDefault="003B5825" w:rsidP="00C85F8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B5825" w:rsidP="00C85F81"/>
          <w:p w:rsidR="003474EC" w:rsidRDefault="003B5825" w:rsidP="000C47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</w:t>
            </w:r>
            <w:r>
              <w:t xml:space="preserve">2486 </w:t>
            </w:r>
            <w:r>
              <w:t xml:space="preserve">amends the Insurance Code to </w:t>
            </w:r>
            <w:r>
              <w:t>set out provisions applica</w:t>
            </w:r>
            <w:r>
              <w:t>ble to employee benefit plans and</w:t>
            </w:r>
            <w:r>
              <w:t xml:space="preserve"> health insurance policies that provide benefits for dental care services. The bill </w:t>
            </w:r>
            <w:r>
              <w:t>require</w:t>
            </w:r>
            <w:r>
              <w:t>s</w:t>
            </w:r>
            <w:r>
              <w:t xml:space="preserve"> a </w:t>
            </w:r>
            <w:r w:rsidRPr="00FE02A8">
              <w:t xml:space="preserve">person or entity who provides or issues </w:t>
            </w:r>
            <w:r>
              <w:t>such a</w:t>
            </w:r>
            <w:r w:rsidRPr="00FE02A8">
              <w:t xml:space="preserve"> plan or policy</w:t>
            </w:r>
            <w:r>
              <w:t xml:space="preserve"> </w:t>
            </w:r>
            <w:r w:rsidRPr="00FE02A8">
              <w:t>or the empl</w:t>
            </w:r>
            <w:r w:rsidRPr="00FE02A8">
              <w:t>oyer or employee organization,</w:t>
            </w:r>
            <w:r>
              <w:t xml:space="preserve"> </w:t>
            </w:r>
            <w:r w:rsidRPr="00FE02A8">
              <w:t>if applicable,</w:t>
            </w:r>
            <w:r>
              <w:t xml:space="preserve"> to establish a </w:t>
            </w:r>
            <w:r w:rsidRPr="00FE02A8">
              <w:t>website to provide resources and information to dentists, insureds, participants, employees, and members.</w:t>
            </w:r>
            <w:r>
              <w:t xml:space="preserve"> The bill requires such a </w:t>
            </w:r>
            <w:r>
              <w:t>provider or issuer</w:t>
            </w:r>
            <w:r>
              <w:t xml:space="preserve"> to make accessible on the website </w:t>
            </w:r>
            <w:r>
              <w:t>information</w:t>
            </w:r>
            <w:r>
              <w:t xml:space="preserve"> about </w:t>
            </w:r>
            <w:r w:rsidRPr="00FE02A8">
              <w:t xml:space="preserve">the plan or policy sufficient for patients and dentists to determine </w:t>
            </w:r>
            <w:r>
              <w:t>the following:</w:t>
            </w:r>
          </w:p>
          <w:p w:rsidR="003474EC" w:rsidRDefault="003B5825" w:rsidP="00C85F8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FE02A8">
              <w:t>the type of dental care services covered by the plan or policy</w:t>
            </w:r>
            <w:r>
              <w:t>;</w:t>
            </w:r>
          </w:p>
          <w:p w:rsidR="003474EC" w:rsidRDefault="003B5825" w:rsidP="00C85F8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percentage of the allowed charges for a covered service that will be paid or reimbursed under the</w:t>
            </w:r>
            <w:r>
              <w:t xml:space="preserve"> plan or policy; and</w:t>
            </w:r>
          </w:p>
          <w:p w:rsidR="003474EC" w:rsidRDefault="003B5825" w:rsidP="00C85F8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for a contracting provider dentist, an estimate of the</w:t>
            </w:r>
            <w:r w:rsidRPr="00FE02A8">
              <w:t xml:space="preserve"> amount of the payment or reimbursement available for </w:t>
            </w:r>
            <w:r>
              <w:t>the provider's</w:t>
            </w:r>
            <w:r w:rsidRPr="00FE02A8">
              <w:t xml:space="preserve"> services under the plan or policy</w:t>
            </w:r>
            <w:r>
              <w:t>.</w:t>
            </w:r>
          </w:p>
          <w:p w:rsidR="005A2FAE" w:rsidRDefault="003B5825" w:rsidP="00C85F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requires a</w:t>
            </w:r>
            <w:r w:rsidRPr="00FE02A8">
              <w:t xml:space="preserve">ccess to the website </w:t>
            </w:r>
            <w:r>
              <w:t xml:space="preserve">to </w:t>
            </w:r>
            <w:r w:rsidRPr="00FE02A8">
              <w:t xml:space="preserve">be at no charge to patients under </w:t>
            </w:r>
            <w:r w:rsidRPr="00FE02A8">
              <w:t>the plan or policy and dentists providing dental care services to the patients.</w:t>
            </w:r>
            <w:r>
              <w:t xml:space="preserve"> </w:t>
            </w:r>
          </w:p>
          <w:p w:rsidR="005A2FAE" w:rsidRDefault="003B5825" w:rsidP="00C85F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96D8F" w:rsidRDefault="003B5825" w:rsidP="00C85F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</w:t>
            </w:r>
            <w:r>
              <w:t xml:space="preserve">2486 </w:t>
            </w:r>
            <w:r>
              <w:t xml:space="preserve">requires </w:t>
            </w:r>
            <w:r>
              <w:t xml:space="preserve">an applicable </w:t>
            </w:r>
            <w:r>
              <w:t xml:space="preserve">plan or policy to provide </w:t>
            </w:r>
            <w:r w:rsidRPr="001D63A6">
              <w:t>one or more methods of payment or reimbursement that provide the dentist 100 percent of the contracted amount o</w:t>
            </w:r>
            <w:r w:rsidRPr="001D63A6">
              <w:t>f the payment or reimbursement and that do not require the dentist to incur a fee to acce</w:t>
            </w:r>
            <w:r>
              <w:t>ss the payment or reimbursement</w:t>
            </w:r>
            <w:r w:rsidRPr="001D63A6">
              <w:t xml:space="preserve"> and</w:t>
            </w:r>
            <w:r>
              <w:t xml:space="preserve"> to </w:t>
            </w:r>
            <w:r w:rsidRPr="001D63A6">
              <w:t>disclose on the website and on request of a dentist or a party to or beneficiary of the plan or policy the fees, if any, associa</w:t>
            </w:r>
            <w:r w:rsidRPr="001D63A6">
              <w:t>ted with the methods of payment or reimbursement available under the plan or policy.</w:t>
            </w:r>
            <w:r>
              <w:t xml:space="preserve"> </w:t>
            </w:r>
          </w:p>
          <w:p w:rsidR="00696D8F" w:rsidRDefault="003B5825" w:rsidP="00C85F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3B5825" w:rsidP="00C85F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24</w:t>
            </w:r>
            <w:r>
              <w:t>86</w:t>
            </w:r>
            <w:r>
              <w:t xml:space="preserve"> prohibits </w:t>
            </w:r>
            <w:r>
              <w:t xml:space="preserve">an applicable </w:t>
            </w:r>
            <w:r w:rsidRPr="0099419F">
              <w:t>plan or policy</w:t>
            </w:r>
            <w:r>
              <w:t xml:space="preserve"> from </w:t>
            </w:r>
            <w:r w:rsidRPr="006965AC">
              <w:t>deduct</w:t>
            </w:r>
            <w:r>
              <w:t>ing</w:t>
            </w:r>
            <w:r w:rsidRPr="006965AC">
              <w:t xml:space="preserve"> the amount of an overpayment of a claim from a payment or reimbursement </w:t>
            </w:r>
            <w:r>
              <w:t xml:space="preserve">for a dental care service </w:t>
            </w:r>
            <w:r>
              <w:t>provided by a dentist who did not receive the overpayment</w:t>
            </w:r>
            <w:r w:rsidRPr="006965AC">
              <w:t>.</w:t>
            </w:r>
            <w:r>
              <w:t xml:space="preserve"> The bill </w:t>
            </w:r>
            <w:r>
              <w:t xml:space="preserve">defines </w:t>
            </w:r>
            <w:r>
              <w:t xml:space="preserve">"predetermination" for purposes of </w:t>
            </w:r>
            <w:r>
              <w:t>a</w:t>
            </w:r>
            <w:r>
              <w:t xml:space="preserve"> statutory</w:t>
            </w:r>
            <w:r>
              <w:t xml:space="preserve"> provision</w:t>
            </w:r>
            <w:r>
              <w:t xml:space="preserve"> establishing </w:t>
            </w:r>
            <w:r>
              <w:t>that prohibitions against certain conduct by a plan or policy</w:t>
            </w:r>
            <w:r w:rsidRPr="0099419F">
              <w:t xml:space="preserve"> </w:t>
            </w:r>
            <w:r>
              <w:t xml:space="preserve">do not prohibit </w:t>
            </w:r>
            <w:r>
              <w:t xml:space="preserve">the predetermination </w:t>
            </w:r>
            <w:r w:rsidRPr="006252EE">
              <w:t>of benefits</w:t>
            </w:r>
            <w:r w:rsidRPr="006252EE">
              <w:t xml:space="preserve"> for dental care expenses before the attending dentist provides treatment</w:t>
            </w:r>
            <w:r>
              <w:t>.</w:t>
            </w:r>
          </w:p>
          <w:p w:rsidR="004F00BC" w:rsidRDefault="003B5825" w:rsidP="00C85F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70B5A" w:rsidRDefault="003B5825" w:rsidP="00C85F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F00BC">
              <w:t>C.S.H.B. 2486</w:t>
            </w:r>
            <w:r>
              <w:t xml:space="preserve"> requires </w:t>
            </w:r>
            <w:r w:rsidRPr="0099419F">
              <w:t xml:space="preserve">an </w:t>
            </w:r>
            <w:r>
              <w:t>applicable</w:t>
            </w:r>
            <w:r w:rsidRPr="0099419F">
              <w:t xml:space="preserve"> provider or issuer</w:t>
            </w:r>
            <w:r w:rsidRPr="004F00BC">
              <w:t xml:space="preserve"> </w:t>
            </w:r>
            <w:r>
              <w:t>to</w:t>
            </w:r>
            <w:r w:rsidRPr="004F00BC">
              <w:t xml:space="preserve"> provide to </w:t>
            </w:r>
            <w:r>
              <w:t>a</w:t>
            </w:r>
            <w:r w:rsidRPr="004F00BC">
              <w:t xml:space="preserve"> dentist</w:t>
            </w:r>
            <w:r>
              <w:t>,</w:t>
            </w:r>
            <w:r w:rsidRPr="004F00BC">
              <w:t xml:space="preserve"> </w:t>
            </w:r>
            <w:r>
              <w:t xml:space="preserve">on request of </w:t>
            </w:r>
            <w:r>
              <w:t xml:space="preserve">the dentist or </w:t>
            </w:r>
            <w:r>
              <w:t>a patient</w:t>
            </w:r>
            <w:r>
              <w:t xml:space="preserve">, </w:t>
            </w:r>
            <w:r w:rsidRPr="004F00BC">
              <w:t>a written prior authorization of benefits for a dental care</w:t>
            </w:r>
            <w:r w:rsidRPr="004F00BC">
              <w:t xml:space="preserve"> service for the patient</w:t>
            </w:r>
            <w:r>
              <w:t xml:space="preserve"> </w:t>
            </w:r>
            <w:r w:rsidRPr="004F00BC">
              <w:t>for which a prior authorization is required</w:t>
            </w:r>
            <w:r>
              <w:t xml:space="preserve">. </w:t>
            </w:r>
            <w:r>
              <w:t>The bill requires the pr</w:t>
            </w:r>
            <w:r>
              <w:t xml:space="preserve">ior </w:t>
            </w:r>
            <w:r>
              <w:t>authorization to include a specific benefit payment or reimbursement amount and prohibits the provider or issuer</w:t>
            </w:r>
            <w:r>
              <w:t>, with certain exceptions,</w:t>
            </w:r>
            <w:r>
              <w:t xml:space="preserve"> from paying or reim</w:t>
            </w:r>
            <w:r>
              <w:t xml:space="preserve">bursing the dentist in an amount less than the amount stated in the prior authorization. </w:t>
            </w:r>
            <w:r>
              <w:t xml:space="preserve">The bill </w:t>
            </w:r>
            <w:r>
              <w:t>sets out the condition</w:t>
            </w:r>
            <w:r>
              <w:t>s</w:t>
            </w:r>
            <w:r>
              <w:t xml:space="preserve"> under which</w:t>
            </w:r>
            <w:r>
              <w:t xml:space="preserve"> a provider or issuer that preauthorizes a dental care service </w:t>
            </w:r>
            <w:r>
              <w:t>may</w:t>
            </w:r>
            <w:r>
              <w:t xml:space="preserve"> deny a claim for the dental care service or reduce payment or reimbursement to the dentist for the service.</w:t>
            </w:r>
            <w:r>
              <w:t xml:space="preserve"> The bill defines "prior authorization" and establishes that the term includes preauthorization or similar authorization but does not include a pred</w:t>
            </w:r>
            <w:r>
              <w:t>etermination</w:t>
            </w:r>
            <w:r>
              <w:t>, as defined by the bill</w:t>
            </w:r>
            <w:r>
              <w:t>.</w:t>
            </w:r>
          </w:p>
          <w:p w:rsidR="005A2FAE" w:rsidRPr="00835628" w:rsidRDefault="003B5825" w:rsidP="00C85F8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16891" w:rsidTr="00345119">
        <w:tc>
          <w:tcPr>
            <w:tcW w:w="9576" w:type="dxa"/>
          </w:tcPr>
          <w:p w:rsidR="008423E4" w:rsidRPr="00A8133F" w:rsidRDefault="003B5825" w:rsidP="00C85F8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B5825" w:rsidP="00C85F81"/>
          <w:p w:rsidR="008423E4" w:rsidRDefault="003B5825" w:rsidP="00C85F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99419F" w:rsidRPr="00233FDB" w:rsidRDefault="003B5825" w:rsidP="00C85F8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16891" w:rsidTr="00345119">
        <w:tc>
          <w:tcPr>
            <w:tcW w:w="9576" w:type="dxa"/>
          </w:tcPr>
          <w:p w:rsidR="00131346" w:rsidRDefault="003B5825" w:rsidP="00C85F8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F43A9" w:rsidRDefault="003B5825" w:rsidP="00C85F81">
            <w:pPr>
              <w:jc w:val="both"/>
            </w:pPr>
          </w:p>
          <w:p w:rsidR="001F50CF" w:rsidRDefault="003B5825" w:rsidP="00C85F81">
            <w:pPr>
              <w:jc w:val="both"/>
            </w:pPr>
            <w:r>
              <w:t>While C.S.H.B. 2486 may differ from the original in minor or nonsubstantive ways, the following summarizes the substantial differences betw</w:t>
            </w:r>
            <w:r>
              <w:t>een the introduced and committee substitute versions of the bill.</w:t>
            </w:r>
            <w:r>
              <w:t xml:space="preserve"> </w:t>
            </w:r>
          </w:p>
          <w:p w:rsidR="001F50CF" w:rsidRPr="00C85F81" w:rsidRDefault="003B5825" w:rsidP="00C85F81">
            <w:pPr>
              <w:jc w:val="both"/>
              <w:rPr>
                <w:sz w:val="20"/>
              </w:rPr>
            </w:pPr>
          </w:p>
          <w:p w:rsidR="00AF43A9" w:rsidRDefault="003B5825" w:rsidP="00C85F81">
            <w:pPr>
              <w:jc w:val="both"/>
            </w:pPr>
            <w:r>
              <w:t>The substitute</w:t>
            </w:r>
            <w:r>
              <w:t xml:space="preserve"> </w:t>
            </w:r>
            <w:r>
              <w:t xml:space="preserve">expands the type of </w:t>
            </w:r>
            <w:r w:rsidRPr="00F645E1">
              <w:t xml:space="preserve">information </w:t>
            </w:r>
            <w:r>
              <w:t>that must be accessible on the website</w:t>
            </w:r>
            <w:r>
              <w:t xml:space="preserve"> </w:t>
            </w:r>
            <w:r>
              <w:t xml:space="preserve">to include </w:t>
            </w:r>
            <w:r>
              <w:t xml:space="preserve">information sufficient to determine </w:t>
            </w:r>
            <w:r w:rsidRPr="000562C4">
              <w:t>the percentage of the allowed charges for a covered ser</w:t>
            </w:r>
            <w:r w:rsidRPr="000562C4">
              <w:t>vice that will be paid or reimbursed under the plan or policy</w:t>
            </w:r>
            <w:r>
              <w:t>.</w:t>
            </w:r>
            <w:r>
              <w:t xml:space="preserve"> The substitute specifies that </w:t>
            </w:r>
            <w:r>
              <w:t xml:space="preserve">the </w:t>
            </w:r>
            <w:r>
              <w:t xml:space="preserve">information </w:t>
            </w:r>
            <w:r>
              <w:t xml:space="preserve">on the website </w:t>
            </w:r>
            <w:r>
              <w:t>regarding the amount of</w:t>
            </w:r>
            <w:r>
              <w:t xml:space="preserve"> payment or reimbursement available for services </w:t>
            </w:r>
            <w:r>
              <w:t>is for</w:t>
            </w:r>
            <w:r>
              <w:t xml:space="preserve"> a contracting provider dentist.</w:t>
            </w:r>
          </w:p>
          <w:p w:rsidR="000562C4" w:rsidRPr="00C85F81" w:rsidRDefault="003B5825" w:rsidP="00C85F81">
            <w:pPr>
              <w:jc w:val="both"/>
              <w:rPr>
                <w:sz w:val="20"/>
              </w:rPr>
            </w:pPr>
          </w:p>
          <w:p w:rsidR="00341787" w:rsidRDefault="003B5825" w:rsidP="00C85F81">
            <w:pPr>
              <w:jc w:val="both"/>
            </w:pPr>
            <w:r>
              <w:t xml:space="preserve">The substitute </w:t>
            </w:r>
            <w:r>
              <w:t xml:space="preserve">does </w:t>
            </w:r>
            <w:r>
              <w:t xml:space="preserve">not include a prohibition </w:t>
            </w:r>
            <w:r>
              <w:t xml:space="preserve">against </w:t>
            </w:r>
            <w:r>
              <w:t xml:space="preserve">a plan or policy </w:t>
            </w:r>
            <w:r>
              <w:t xml:space="preserve">deducting the amount of an overpayment of a claim from a payment or reimbursement of another claim </w:t>
            </w:r>
            <w:r>
              <w:t xml:space="preserve">unless both claims were for dental services provided to the same patient by the same dentist. The substitute includes instead a prohibition against a plan or policy deducting such an </w:t>
            </w:r>
            <w:r>
              <w:t>overpayment amount</w:t>
            </w:r>
            <w:r>
              <w:t xml:space="preserve"> from </w:t>
            </w:r>
            <w:r>
              <w:t xml:space="preserve">a payment or reimbursement for </w:t>
            </w:r>
            <w:r>
              <w:t>a dental care serv</w:t>
            </w:r>
            <w:r>
              <w:t xml:space="preserve">ice provided by a dentist who did not receive the overpayment. </w:t>
            </w:r>
          </w:p>
          <w:p w:rsidR="00305EF2" w:rsidRPr="00C85F81" w:rsidRDefault="003B5825" w:rsidP="00C85F81">
            <w:pPr>
              <w:jc w:val="both"/>
              <w:rPr>
                <w:sz w:val="20"/>
              </w:rPr>
            </w:pPr>
          </w:p>
          <w:p w:rsidR="00305EF2" w:rsidRDefault="003B5825" w:rsidP="00C85F81">
            <w:pPr>
              <w:jc w:val="both"/>
            </w:pPr>
            <w:r>
              <w:t>The substitute defines "predetermination" for purposes of the statutory provision establishing that certain prohibitions do not prohibit the predetermination of benefits for dental care expen</w:t>
            </w:r>
            <w:r>
              <w:t xml:space="preserve">ses before the attending dentist provides treatment. </w:t>
            </w:r>
          </w:p>
          <w:p w:rsidR="00341787" w:rsidRPr="00C85F81" w:rsidRDefault="003B5825" w:rsidP="00C85F81">
            <w:pPr>
              <w:jc w:val="both"/>
              <w:rPr>
                <w:sz w:val="20"/>
              </w:rPr>
            </w:pPr>
          </w:p>
          <w:p w:rsidR="007B1FAF" w:rsidRDefault="003B5825" w:rsidP="00C85F81">
            <w:pPr>
              <w:jc w:val="both"/>
            </w:pPr>
            <w:r>
              <w:t xml:space="preserve">The substitute does not include a </w:t>
            </w:r>
            <w:r>
              <w:t>prohibition against</w:t>
            </w:r>
            <w:r>
              <w:t xml:space="preserve"> a plan or policy that provides a written </w:t>
            </w:r>
            <w:r w:rsidRPr="00F645E1">
              <w:t>predetermination of benefits to a dentist that includes a specific benefit payment or reimbursement amount</w:t>
            </w:r>
            <w:r w:rsidRPr="00F645E1">
              <w:t xml:space="preserve"> paying or reimbursing the dentist for providing that service to the patient in an amount that is less than the amount set forth in the predetermination</w:t>
            </w:r>
            <w:r>
              <w:t>,</w:t>
            </w:r>
            <w:r>
              <w:t xml:space="preserve"> but </w:t>
            </w:r>
            <w:r>
              <w:t xml:space="preserve">the </w:t>
            </w:r>
            <w:r>
              <w:t xml:space="preserve">substitute </w:t>
            </w:r>
            <w:r>
              <w:t>includes</w:t>
            </w:r>
            <w:r>
              <w:t xml:space="preserve"> provisions relating to the prior authorization of dental care services tha</w:t>
            </w:r>
            <w:r>
              <w:t>t do the following:</w:t>
            </w:r>
          </w:p>
          <w:p w:rsidR="00FA5FDA" w:rsidRDefault="003B5825" w:rsidP="00C85F81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define "prior authorization" and exclude from the term a predetermination;</w:t>
            </w:r>
          </w:p>
          <w:p w:rsidR="007B1FAF" w:rsidRDefault="003B5825" w:rsidP="00C85F81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require</w:t>
            </w:r>
            <w:r>
              <w:t xml:space="preserve"> a provider or issuer to provide </w:t>
            </w:r>
            <w:r>
              <w:t xml:space="preserve">a dentist, </w:t>
            </w:r>
            <w:r w:rsidRPr="00A263B5">
              <w:t>on request</w:t>
            </w:r>
            <w:r>
              <w:t xml:space="preserve"> of the dentist or a patient,</w:t>
            </w:r>
            <w:r w:rsidRPr="00A263B5">
              <w:t xml:space="preserve"> </w:t>
            </w:r>
            <w:r>
              <w:t>a written prior authorization</w:t>
            </w:r>
            <w:r>
              <w:t xml:space="preserve"> of benefits for a dental care service for which a prior authorization is required</w:t>
            </w:r>
            <w:r>
              <w:t>;</w:t>
            </w:r>
          </w:p>
          <w:p w:rsidR="007B1FAF" w:rsidRDefault="003B5825" w:rsidP="00C85F81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require the prior authorization to include a specific benefit payment or reimbursement amount;</w:t>
            </w:r>
            <w:r>
              <w:t xml:space="preserve"> and</w:t>
            </w:r>
          </w:p>
          <w:p w:rsidR="00341787" w:rsidRPr="00AF43A9" w:rsidRDefault="003B5825" w:rsidP="00C85F81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 xml:space="preserve">prohibit a provider or issuer </w:t>
            </w:r>
            <w:r>
              <w:t xml:space="preserve">from </w:t>
            </w:r>
            <w:r>
              <w:t>paying or reimbursing the dentist in a</w:t>
            </w:r>
            <w:r>
              <w:t>n amount that is less than the amount stated in the prior authorization, except under certain specified conditions</w:t>
            </w:r>
            <w:r>
              <w:t>.</w:t>
            </w:r>
          </w:p>
        </w:tc>
      </w:tr>
    </w:tbl>
    <w:p w:rsidR="004108C3" w:rsidRPr="00A7246E" w:rsidRDefault="003B5825" w:rsidP="008423E4">
      <w:pPr>
        <w:rPr>
          <w:sz w:val="2"/>
        </w:rPr>
      </w:pPr>
    </w:p>
    <w:sectPr w:rsidR="004108C3" w:rsidRPr="00A7246E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5825">
      <w:r>
        <w:separator/>
      </w:r>
    </w:p>
  </w:endnote>
  <w:endnote w:type="continuationSeparator" w:id="0">
    <w:p w:rsidR="00000000" w:rsidRDefault="003B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9A" w:rsidRDefault="003B5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16891" w:rsidTr="009C1E9A">
      <w:trPr>
        <w:cantSplit/>
      </w:trPr>
      <w:tc>
        <w:tcPr>
          <w:tcW w:w="0" w:type="pct"/>
        </w:tcPr>
        <w:p w:rsidR="00137D90" w:rsidRDefault="003B58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B58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B58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6891" w:rsidTr="009C1E9A">
      <w:trPr>
        <w:cantSplit/>
      </w:trPr>
      <w:tc>
        <w:tcPr>
          <w:tcW w:w="0" w:type="pct"/>
        </w:tcPr>
        <w:p w:rsidR="00EC379B" w:rsidRDefault="003B58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B582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26445</w:t>
          </w:r>
        </w:p>
      </w:tc>
      <w:tc>
        <w:tcPr>
          <w:tcW w:w="2453" w:type="pct"/>
        </w:tcPr>
        <w:p w:rsidR="00EC379B" w:rsidRDefault="003B58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19.102.94</w:t>
          </w:r>
          <w:r>
            <w:fldChar w:fldCharType="end"/>
          </w:r>
        </w:p>
      </w:tc>
    </w:tr>
    <w:tr w:rsidR="00716891" w:rsidTr="009C1E9A">
      <w:trPr>
        <w:cantSplit/>
      </w:trPr>
      <w:tc>
        <w:tcPr>
          <w:tcW w:w="0" w:type="pct"/>
        </w:tcPr>
        <w:p w:rsidR="00EC379B" w:rsidRDefault="003B58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B58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22380</w:t>
          </w:r>
        </w:p>
      </w:tc>
      <w:tc>
        <w:tcPr>
          <w:tcW w:w="2453" w:type="pct"/>
        </w:tcPr>
        <w:p w:rsidR="00EC379B" w:rsidRDefault="003B5825" w:rsidP="006D504F">
          <w:pPr>
            <w:pStyle w:val="Footer"/>
            <w:rPr>
              <w:rStyle w:val="PageNumber"/>
            </w:rPr>
          </w:pPr>
        </w:p>
        <w:p w:rsidR="00EC379B" w:rsidRDefault="003B58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689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B582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B582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B582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9A" w:rsidRDefault="003B5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5825">
      <w:r>
        <w:separator/>
      </w:r>
    </w:p>
  </w:footnote>
  <w:footnote w:type="continuationSeparator" w:id="0">
    <w:p w:rsidR="00000000" w:rsidRDefault="003B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9A" w:rsidRDefault="003B5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9A" w:rsidRDefault="003B58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9A" w:rsidRDefault="003B5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BAA"/>
    <w:multiLevelType w:val="hybridMultilevel"/>
    <w:tmpl w:val="BF862274"/>
    <w:lvl w:ilvl="0" w:tplc="4C885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88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0E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EF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02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247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04C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66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6616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5AAB"/>
    <w:multiLevelType w:val="hybridMultilevel"/>
    <w:tmpl w:val="3F92201C"/>
    <w:lvl w:ilvl="0" w:tplc="06B49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C9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76A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4A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22C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64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83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8A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FA5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A5ACE"/>
    <w:multiLevelType w:val="hybridMultilevel"/>
    <w:tmpl w:val="C51AFEB2"/>
    <w:lvl w:ilvl="0" w:tplc="3A9CD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0C21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CE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66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053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30B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C7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68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A8D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4617F"/>
    <w:multiLevelType w:val="hybridMultilevel"/>
    <w:tmpl w:val="3F32B630"/>
    <w:lvl w:ilvl="0" w:tplc="385C8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08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CCF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A4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CD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22E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A87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08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D0F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91"/>
    <w:rsid w:val="003B5825"/>
    <w:rsid w:val="0071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2B10D1-DEAB-4D46-899F-5ACE9C75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02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02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02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0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02A8"/>
    <w:rPr>
      <w:b/>
      <w:bCs/>
    </w:rPr>
  </w:style>
  <w:style w:type="character" w:styleId="Hyperlink">
    <w:name w:val="Hyperlink"/>
    <w:basedOn w:val="DefaultParagraphFont"/>
    <w:unhideWhenUsed/>
    <w:rsid w:val="00343F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5485</Characters>
  <Application>Microsoft Office Word</Application>
  <DocSecurity>4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HB02486 (Committee Report (Substituted))</vt:lpstr>
    </vt:vector>
  </TitlesOfParts>
  <Company>State of Texas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26445</dc:subject>
  <dc:creator>State of Texas</dc:creator>
  <dc:description>HB 2486 by Goldman-(H)Insurance (Substitute Document Number: 86R 22380)</dc:description>
  <cp:lastModifiedBy>Erin Conway</cp:lastModifiedBy>
  <cp:revision>2</cp:revision>
  <cp:lastPrinted>2003-11-26T17:21:00Z</cp:lastPrinted>
  <dcterms:created xsi:type="dcterms:W3CDTF">2019-04-16T01:45:00Z</dcterms:created>
  <dcterms:modified xsi:type="dcterms:W3CDTF">2019-04-16T01:45:00Z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19.102.94</vt:lpwstr>
  </property>
</Properties>
</file>