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502A0" w:rsidTr="00345119">
        <w:tc>
          <w:tcPr>
            <w:tcW w:w="9576" w:type="dxa"/>
            <w:noWrap/>
          </w:tcPr>
          <w:p w:rsidR="008423E4" w:rsidRPr="0022177D" w:rsidRDefault="006C080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C080D" w:rsidP="008423E4">
      <w:pPr>
        <w:jc w:val="center"/>
      </w:pPr>
    </w:p>
    <w:p w:rsidR="008423E4" w:rsidRPr="00B31F0E" w:rsidRDefault="006C080D" w:rsidP="008423E4"/>
    <w:p w:rsidR="008423E4" w:rsidRPr="00742794" w:rsidRDefault="006C080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502A0" w:rsidTr="00345119">
        <w:tc>
          <w:tcPr>
            <w:tcW w:w="9576" w:type="dxa"/>
          </w:tcPr>
          <w:p w:rsidR="008423E4" w:rsidRPr="00861995" w:rsidRDefault="006C080D" w:rsidP="00345119">
            <w:pPr>
              <w:jc w:val="right"/>
            </w:pPr>
            <w:r>
              <w:t>C.S.H.B. 2507</w:t>
            </w:r>
          </w:p>
        </w:tc>
      </w:tr>
      <w:tr w:rsidR="004502A0" w:rsidTr="00345119">
        <w:tc>
          <w:tcPr>
            <w:tcW w:w="9576" w:type="dxa"/>
          </w:tcPr>
          <w:p w:rsidR="008423E4" w:rsidRPr="00861995" w:rsidRDefault="006C080D" w:rsidP="00AB58C1">
            <w:pPr>
              <w:jc w:val="right"/>
            </w:pPr>
            <w:r>
              <w:t xml:space="preserve">By: </w:t>
            </w:r>
            <w:r>
              <w:t>Lucio III</w:t>
            </w:r>
          </w:p>
        </w:tc>
      </w:tr>
      <w:tr w:rsidR="004502A0" w:rsidTr="00345119">
        <w:tc>
          <w:tcPr>
            <w:tcW w:w="9576" w:type="dxa"/>
          </w:tcPr>
          <w:p w:rsidR="008423E4" w:rsidRPr="00861995" w:rsidRDefault="006C080D" w:rsidP="00345119">
            <w:pPr>
              <w:jc w:val="right"/>
            </w:pPr>
            <w:r>
              <w:t>Insurance</w:t>
            </w:r>
          </w:p>
        </w:tc>
      </w:tr>
      <w:tr w:rsidR="004502A0" w:rsidTr="00345119">
        <w:tc>
          <w:tcPr>
            <w:tcW w:w="9576" w:type="dxa"/>
          </w:tcPr>
          <w:p w:rsidR="008423E4" w:rsidRDefault="006C080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C080D" w:rsidP="008423E4">
      <w:pPr>
        <w:tabs>
          <w:tab w:val="right" w:pos="9360"/>
        </w:tabs>
      </w:pPr>
    </w:p>
    <w:p w:rsidR="008423E4" w:rsidRDefault="006C080D" w:rsidP="008423E4"/>
    <w:p w:rsidR="008423E4" w:rsidRDefault="006C080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502A0" w:rsidTr="00345119">
        <w:tc>
          <w:tcPr>
            <w:tcW w:w="9576" w:type="dxa"/>
          </w:tcPr>
          <w:p w:rsidR="008423E4" w:rsidRPr="00A8133F" w:rsidRDefault="006C080D" w:rsidP="009254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C080D" w:rsidP="0092546C"/>
          <w:p w:rsidR="008423E4" w:rsidRDefault="006C080D" w:rsidP="0092546C">
            <w:pPr>
              <w:pStyle w:val="Header"/>
              <w:jc w:val="both"/>
            </w:pPr>
            <w:r>
              <w:t>It has been reported that recent changes in federal regulations significantly increased the duration of short-term limited</w:t>
            </w:r>
            <w:r>
              <w:t>-</w:t>
            </w:r>
            <w:r>
              <w:t xml:space="preserve">duration health insurance plans. </w:t>
            </w:r>
            <w:r>
              <w:t>Some have suggested</w:t>
            </w:r>
            <w:r>
              <w:t xml:space="preserve"> that</w:t>
            </w:r>
            <w:r>
              <w:t xml:space="preserve"> consumers purchasing these plans may not understand the limitations on benefits</w:t>
            </w:r>
            <w:r>
              <w:t xml:space="preserve"> </w:t>
            </w:r>
            <w:r>
              <w:t xml:space="preserve">applicable to these plans </w:t>
            </w:r>
            <w:r>
              <w:t>and that the consumers</w:t>
            </w:r>
            <w:r>
              <w:t xml:space="preserve"> might expect benefits</w:t>
            </w:r>
            <w:r>
              <w:t xml:space="preserve"> </w:t>
            </w:r>
            <w:r>
              <w:t>that are more robust</w:t>
            </w:r>
            <w:r>
              <w:t xml:space="preserve"> than the benefits the plan</w:t>
            </w:r>
            <w:r>
              <w:t xml:space="preserve">s </w:t>
            </w:r>
            <w:r>
              <w:t xml:space="preserve">actually </w:t>
            </w:r>
            <w:r>
              <w:t>provide.</w:t>
            </w:r>
            <w:r>
              <w:t xml:space="preserve"> Given reports that these</w:t>
            </w:r>
            <w:r>
              <w:t xml:space="preserve"> plans </w:t>
            </w:r>
            <w:r>
              <w:t>often deny coverage for</w:t>
            </w:r>
            <w:r>
              <w:t xml:space="preserve"> preexisting conditions</w:t>
            </w:r>
            <w:r>
              <w:t xml:space="preserve"> and</w:t>
            </w:r>
            <w:r>
              <w:t xml:space="preserve"> provide </w:t>
            </w:r>
            <w:r>
              <w:t>little</w:t>
            </w:r>
            <w:r>
              <w:t xml:space="preserve"> </w:t>
            </w:r>
            <w:r>
              <w:t>or no coverage for mental health,</w:t>
            </w:r>
            <w:r>
              <w:t xml:space="preserve"> there are concerns that overreliance on these plans could lead </w:t>
            </w:r>
            <w:r>
              <w:t xml:space="preserve">not only </w:t>
            </w:r>
            <w:r>
              <w:t>to increased uncompensated care a</w:t>
            </w:r>
            <w:r>
              <w:t>nd medical bankruptcies</w:t>
            </w:r>
            <w:r>
              <w:t xml:space="preserve"> </w:t>
            </w:r>
            <w:r>
              <w:t>but also</w:t>
            </w:r>
            <w:r>
              <w:t xml:space="preserve"> to higher </w:t>
            </w:r>
            <w:r>
              <w:t>premiums for traditional health insurance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2507 seeks to </w:t>
            </w:r>
            <w:r>
              <w:t>address these concerns by</w:t>
            </w:r>
            <w:r>
              <w:t>, among other things,</w:t>
            </w:r>
            <w:r>
              <w:t xml:space="preserve"> requiring the c</w:t>
            </w:r>
            <w:r>
              <w:t xml:space="preserve">ommissioner of </w:t>
            </w:r>
            <w:r>
              <w:t>i</w:t>
            </w:r>
            <w:r>
              <w:t>nsurance</w:t>
            </w:r>
            <w:r>
              <w:t xml:space="preserve"> to adopt rules establishing minimum standards for benefits under short-term limited-duration health coverage</w:t>
            </w:r>
            <w:r>
              <w:t xml:space="preserve"> and requiring certain disclosure and notice procedures</w:t>
            </w:r>
            <w:r>
              <w:t xml:space="preserve">.   </w:t>
            </w:r>
          </w:p>
          <w:p w:rsidR="008423E4" w:rsidRPr="00E26B13" w:rsidRDefault="006C080D" w:rsidP="0092546C">
            <w:pPr>
              <w:rPr>
                <w:b/>
              </w:rPr>
            </w:pPr>
          </w:p>
        </w:tc>
      </w:tr>
      <w:tr w:rsidR="004502A0" w:rsidTr="00345119">
        <w:tc>
          <w:tcPr>
            <w:tcW w:w="9576" w:type="dxa"/>
          </w:tcPr>
          <w:p w:rsidR="0017725B" w:rsidRDefault="006C080D" w:rsidP="009254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C080D" w:rsidP="0092546C">
            <w:pPr>
              <w:rPr>
                <w:b/>
                <w:u w:val="single"/>
              </w:rPr>
            </w:pPr>
          </w:p>
          <w:p w:rsidR="001409F0" w:rsidRPr="001409F0" w:rsidRDefault="006C080D" w:rsidP="0092546C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C080D" w:rsidP="0092546C">
            <w:pPr>
              <w:rPr>
                <w:b/>
                <w:u w:val="single"/>
              </w:rPr>
            </w:pPr>
          </w:p>
        </w:tc>
      </w:tr>
      <w:tr w:rsidR="004502A0" w:rsidTr="00345119">
        <w:tc>
          <w:tcPr>
            <w:tcW w:w="9576" w:type="dxa"/>
          </w:tcPr>
          <w:p w:rsidR="008423E4" w:rsidRPr="00A8133F" w:rsidRDefault="006C080D" w:rsidP="009254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C080D" w:rsidP="0092546C"/>
          <w:p w:rsidR="001409F0" w:rsidRDefault="006C080D" w:rsidP="009254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rulemaking authority is expressly granted to the commissioner of insurance in SECTION</w:t>
            </w:r>
            <w:r>
              <w:t>S 1</w:t>
            </w:r>
            <w:r>
              <w:t>,</w:t>
            </w:r>
            <w:r>
              <w:t xml:space="preserve"> </w:t>
            </w:r>
            <w:r>
              <w:t>2,</w:t>
            </w:r>
            <w:r>
              <w:t xml:space="preserve"> and 3 </w:t>
            </w:r>
            <w:r>
              <w:t>of this bill.</w:t>
            </w:r>
          </w:p>
          <w:p w:rsidR="008423E4" w:rsidRPr="00E21FDC" w:rsidRDefault="006C080D" w:rsidP="0092546C">
            <w:pPr>
              <w:rPr>
                <w:b/>
              </w:rPr>
            </w:pPr>
          </w:p>
        </w:tc>
      </w:tr>
      <w:tr w:rsidR="004502A0" w:rsidTr="00345119">
        <w:tc>
          <w:tcPr>
            <w:tcW w:w="9576" w:type="dxa"/>
          </w:tcPr>
          <w:p w:rsidR="008423E4" w:rsidRPr="00A8133F" w:rsidRDefault="006C080D" w:rsidP="009254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C080D" w:rsidP="0092546C"/>
          <w:p w:rsidR="001C01F7" w:rsidRDefault="006C080D" w:rsidP="0092546C">
            <w:pPr>
              <w:pStyle w:val="Header"/>
              <w:jc w:val="both"/>
            </w:pPr>
            <w:r>
              <w:t>C.S.</w:t>
            </w:r>
            <w:r>
              <w:t>H.B. 2507</w:t>
            </w:r>
            <w:r>
              <w:t xml:space="preserve"> amends the Insurance Code </w:t>
            </w:r>
            <w:r>
              <w:t xml:space="preserve">to </w:t>
            </w:r>
            <w:r>
              <w:t>require the commissioner of insurance to adopt rules establish</w:t>
            </w:r>
            <w:r>
              <w:t xml:space="preserve">ing </w:t>
            </w:r>
            <w:r>
              <w:t xml:space="preserve">minimum standards for </w:t>
            </w:r>
            <w:r>
              <w:t>benefits</w:t>
            </w:r>
            <w:r>
              <w:t xml:space="preserve"> under </w:t>
            </w:r>
            <w:r w:rsidRPr="00E32822">
              <w:t xml:space="preserve">short-term limited-duration </w:t>
            </w:r>
            <w:r>
              <w:t xml:space="preserve">insurance </w:t>
            </w:r>
            <w:r>
              <w:t>coverage</w:t>
            </w:r>
            <w:r>
              <w:t xml:space="preserve"> and to adopt rules necessary to implement the standards not later than January 1, 2020</w:t>
            </w:r>
            <w:r>
              <w:t xml:space="preserve">. </w:t>
            </w:r>
          </w:p>
          <w:p w:rsidR="001C01F7" w:rsidRDefault="006C080D" w:rsidP="0092546C">
            <w:pPr>
              <w:pStyle w:val="Header"/>
              <w:jc w:val="both"/>
            </w:pPr>
          </w:p>
          <w:p w:rsidR="00E266F9" w:rsidRDefault="006C080D" w:rsidP="0092546C">
            <w:pPr>
              <w:pStyle w:val="Header"/>
              <w:jc w:val="both"/>
            </w:pPr>
            <w:r>
              <w:t xml:space="preserve">C.S.H.B. 2507 sets out provisions applicable to </w:t>
            </w:r>
            <w:r>
              <w:t>a</w:t>
            </w:r>
            <w:r w:rsidRPr="0002418A">
              <w:t xml:space="preserve"> short-term</w:t>
            </w:r>
            <w:r>
              <w:t xml:space="preserve"> </w:t>
            </w:r>
            <w:r w:rsidRPr="0002418A">
              <w:t xml:space="preserve">limited-duration </w:t>
            </w:r>
            <w:r w:rsidRPr="0002418A">
              <w:t>insurance pol</w:t>
            </w:r>
            <w:r>
              <w:t>icy</w:t>
            </w:r>
            <w:r>
              <w:t xml:space="preserve"> delivered, issued for delivery, or renewed on or after January 1, 2020</w:t>
            </w:r>
            <w:r>
              <w:t xml:space="preserve">. The bill </w:t>
            </w:r>
            <w:r>
              <w:t xml:space="preserve">requires an </w:t>
            </w:r>
            <w:r w:rsidRPr="0002418A">
              <w:t xml:space="preserve">insurer issuing </w:t>
            </w:r>
            <w:r>
              <w:t>such a</w:t>
            </w:r>
            <w:r w:rsidRPr="0002418A">
              <w:t xml:space="preserve"> pol</w:t>
            </w:r>
            <w:r>
              <w:t>icy to</w:t>
            </w:r>
            <w:r w:rsidRPr="0002418A">
              <w:t xml:space="preserve"> display on all sales and marketing materials</w:t>
            </w:r>
            <w:r>
              <w:t>, including web</w:t>
            </w:r>
            <w:r>
              <w:t>sites advertising or selling the policy,</w:t>
            </w:r>
            <w:r>
              <w:t xml:space="preserve"> </w:t>
            </w:r>
            <w:r>
              <w:t>the</w:t>
            </w:r>
            <w:r>
              <w:t xml:space="preserve"> applicabl</w:t>
            </w:r>
            <w:r>
              <w:t xml:space="preserve">e notice under federal </w:t>
            </w:r>
            <w:r>
              <w:t>regulations</w:t>
            </w:r>
            <w:r>
              <w:t>,</w:t>
            </w:r>
            <w:r>
              <w:t xml:space="preserve"> </w:t>
            </w:r>
            <w:r>
              <w:t>including modifications to the notice</w:t>
            </w:r>
            <w:r>
              <w:t>,</w:t>
            </w:r>
            <w:r>
              <w:t xml:space="preserve"> </w:t>
            </w:r>
            <w:r>
              <w:t xml:space="preserve">as prescribed by commissioner rule </w:t>
            </w:r>
            <w:r>
              <w:t>under the bill's provisions</w:t>
            </w:r>
            <w:r>
              <w:t>,</w:t>
            </w:r>
            <w:r>
              <w:t xml:space="preserve"> </w:t>
            </w:r>
            <w:r>
              <w:t xml:space="preserve">for purposes of making the notice more readable. </w:t>
            </w:r>
            <w:r>
              <w:t>The bill require</w:t>
            </w:r>
            <w:r>
              <w:t>s</w:t>
            </w:r>
            <w:r>
              <w:t xml:space="preserve"> an </w:t>
            </w:r>
            <w:r w:rsidRPr="0002418A">
              <w:t xml:space="preserve">agent selling </w:t>
            </w:r>
            <w:r>
              <w:t xml:space="preserve">such </w:t>
            </w:r>
            <w:r w:rsidRPr="0002418A">
              <w:t>a policy</w:t>
            </w:r>
            <w:r>
              <w:t xml:space="preserve"> in person or throug</w:t>
            </w:r>
            <w:r>
              <w:t>h the telephone</w:t>
            </w:r>
            <w:r w:rsidRPr="0002418A">
              <w:t xml:space="preserve"> </w:t>
            </w:r>
            <w:r>
              <w:t xml:space="preserve">to </w:t>
            </w:r>
            <w:r w:rsidRPr="0002418A">
              <w:t>read out loud the disclosure</w:t>
            </w:r>
            <w:r>
              <w:t xml:space="preserve"> </w:t>
            </w:r>
            <w:r w:rsidRPr="0002418A">
              <w:t>to a prospective purchaser</w:t>
            </w:r>
            <w:r>
              <w:t xml:space="preserve"> and </w:t>
            </w:r>
            <w:r>
              <w:t xml:space="preserve">requires the commissioner by rule to prescribe a procedure to communicate the required disclosure to a prospective purchaser on a website that is substantially equivalent to an </w:t>
            </w:r>
            <w:r>
              <w:t xml:space="preserve">agent reading the disclosure </w:t>
            </w:r>
            <w:r>
              <w:t>aloud</w:t>
            </w:r>
            <w:r>
              <w:t xml:space="preserve">. </w:t>
            </w:r>
          </w:p>
          <w:p w:rsidR="00E266F9" w:rsidRDefault="006C080D" w:rsidP="0092546C">
            <w:pPr>
              <w:pStyle w:val="Header"/>
              <w:jc w:val="both"/>
            </w:pPr>
          </w:p>
          <w:p w:rsidR="00E266F9" w:rsidRDefault="006C080D" w:rsidP="0092546C">
            <w:pPr>
              <w:pStyle w:val="Header"/>
              <w:jc w:val="both"/>
            </w:pPr>
            <w:r>
              <w:t>C.S.H.B. 2507</w:t>
            </w:r>
            <w:r>
              <w:t xml:space="preserve"> requires </w:t>
            </w:r>
            <w:r>
              <w:t xml:space="preserve">the commissioner to prescribe by rule </w:t>
            </w:r>
            <w:r w:rsidRPr="00296DCF">
              <w:t xml:space="preserve">a disclosure form to be provided with </w:t>
            </w:r>
            <w:r>
              <w:t xml:space="preserve">such a </w:t>
            </w:r>
            <w:r w:rsidRPr="00296DCF">
              <w:t>policy and the application</w:t>
            </w:r>
            <w:r>
              <w:t xml:space="preserve"> and sets out </w:t>
            </w:r>
            <w:r>
              <w:t>content and format requirements for</w:t>
            </w:r>
            <w:r>
              <w:t xml:space="preserve"> the disclosure form. The bill requir</w:t>
            </w:r>
            <w:r>
              <w:t xml:space="preserve">es an </w:t>
            </w:r>
            <w:r w:rsidRPr="00296DCF">
              <w:t xml:space="preserve">insurer issuing </w:t>
            </w:r>
            <w:r>
              <w:t>such a</w:t>
            </w:r>
            <w:r>
              <w:t xml:space="preserve"> policy to</w:t>
            </w:r>
            <w:r w:rsidRPr="00296DCF">
              <w:t xml:space="preserve"> </w:t>
            </w:r>
            <w:r w:rsidRPr="008B73FA">
              <w:t>adopt procedures in accordance with commissioner rule to obtain a signed form from the insured acknowledging</w:t>
            </w:r>
            <w:r>
              <w:t xml:space="preserve"> receipt of the disclosure form,</w:t>
            </w:r>
            <w:r>
              <w:t xml:space="preserve"> to</w:t>
            </w:r>
            <w:r>
              <w:t xml:space="preserve"> </w:t>
            </w:r>
            <w:r w:rsidRPr="00DC7B94">
              <w:t xml:space="preserve">retain </w:t>
            </w:r>
            <w:r>
              <w:t>an</w:t>
            </w:r>
            <w:r w:rsidRPr="00DC7B94">
              <w:t xml:space="preserve"> acknowledgment until the fifth anniversary of the date the insurer receives the form</w:t>
            </w:r>
            <w:r>
              <w:t>, and to</w:t>
            </w:r>
            <w:r w:rsidRPr="00DC7B94">
              <w:t xml:space="preserve"> make the </w:t>
            </w:r>
            <w:r>
              <w:t>acknowledgment</w:t>
            </w:r>
            <w:r w:rsidRPr="00DC7B94">
              <w:t xml:space="preserve"> available to the </w:t>
            </w:r>
            <w:r>
              <w:t>Texas D</w:t>
            </w:r>
            <w:r w:rsidRPr="00DC7B94">
              <w:t>epartment</w:t>
            </w:r>
            <w:r>
              <w:t xml:space="preserve"> of Insurance (TDI)</w:t>
            </w:r>
            <w:r w:rsidRPr="00DC7B94">
              <w:t xml:space="preserve"> on request.</w:t>
            </w:r>
            <w:r>
              <w:t xml:space="preserve"> </w:t>
            </w:r>
            <w:r>
              <w:t xml:space="preserve">The bill requires the rule to allow for electronic acknowledgement. </w:t>
            </w:r>
          </w:p>
          <w:p w:rsidR="00E266F9" w:rsidRDefault="006C080D" w:rsidP="0092546C">
            <w:pPr>
              <w:pStyle w:val="Header"/>
              <w:jc w:val="both"/>
            </w:pPr>
          </w:p>
          <w:p w:rsidR="0005703C" w:rsidRPr="00D45DBC" w:rsidRDefault="006C080D" w:rsidP="0092546C">
            <w:pPr>
              <w:pStyle w:val="Header"/>
              <w:jc w:val="both"/>
            </w:pPr>
            <w:r>
              <w:t>C.S</w:t>
            </w:r>
            <w:r>
              <w:t>.H.B. 2507</w:t>
            </w:r>
            <w:r>
              <w:t xml:space="preserve"> prohibits and insurer from advertising or describing </w:t>
            </w:r>
            <w:r>
              <w:t>such a</w:t>
            </w:r>
            <w:r>
              <w:t xml:space="preserve"> policy as renewable unless the policy provides that</w:t>
            </w:r>
            <w:r>
              <w:t>,</w:t>
            </w:r>
            <w:r>
              <w:t xml:space="preserve"> during the initial term and any renewal period</w:t>
            </w:r>
            <w:r>
              <w:t>,</w:t>
            </w:r>
            <w:r>
              <w:t xml:space="preserve"> the insurer may not change a material term in the policy without the consent of the </w:t>
            </w:r>
            <w:r>
              <w:t xml:space="preserve">policyholder and the policy is renewable at the sole option of the policyholder. </w:t>
            </w:r>
            <w:r>
              <w:t>These renewal limitation provisions do not limit the right of an insurer to make changes in premium rates by class.</w:t>
            </w:r>
          </w:p>
          <w:p w:rsidR="0005703C" w:rsidRDefault="006C080D" w:rsidP="0092546C">
            <w:pPr>
              <w:pStyle w:val="Header"/>
              <w:jc w:val="both"/>
              <w:rPr>
                <w:u w:val="single"/>
              </w:rPr>
            </w:pPr>
          </w:p>
          <w:p w:rsidR="008423E4" w:rsidRDefault="006C080D" w:rsidP="0092546C">
            <w:pPr>
              <w:pStyle w:val="Header"/>
              <w:jc w:val="both"/>
            </w:pPr>
            <w:r>
              <w:t>C.S.</w:t>
            </w:r>
            <w:r w:rsidRPr="00D45DBC">
              <w:t xml:space="preserve">H.B. 2507 prohibits an insurer from terminating </w:t>
            </w:r>
            <w:r>
              <w:t xml:space="preserve">a </w:t>
            </w:r>
            <w:r w:rsidRPr="00D45DBC">
              <w:t>poli</w:t>
            </w:r>
            <w:r w:rsidRPr="00D45DBC">
              <w:t xml:space="preserve">cy before the policy's expiration date except for nonpayment of premiums or </w:t>
            </w:r>
            <w:r>
              <w:t xml:space="preserve">because the policy holder has performed an act or practice that constitutes </w:t>
            </w:r>
            <w:r w:rsidRPr="00D45DBC">
              <w:t>fraud</w:t>
            </w:r>
            <w:r>
              <w:t xml:space="preserve"> or has made an </w:t>
            </w:r>
            <w:r>
              <w:t>intentional</w:t>
            </w:r>
            <w:r>
              <w:t xml:space="preserve"> misrepresentation of a material fact relating to the policy</w:t>
            </w:r>
            <w:r w:rsidRPr="00D45DBC">
              <w:t xml:space="preserve">. </w:t>
            </w:r>
            <w:r>
              <w:t>The bill r</w:t>
            </w:r>
            <w:r>
              <w:t xml:space="preserve">equires the insurer </w:t>
            </w:r>
            <w:r>
              <w:t xml:space="preserve">issuing such a policy </w:t>
            </w:r>
            <w:r>
              <w:t xml:space="preserve">to </w:t>
            </w:r>
            <w:r w:rsidRPr="00296DCF">
              <w:t>provide an option</w:t>
            </w:r>
            <w:r>
              <w:t xml:space="preserve"> under the policy</w:t>
            </w:r>
            <w:r w:rsidRPr="00296DCF">
              <w:t xml:space="preserve"> for the insured to cancel the policy effective after each 30-day interval after the effective date of coverage.</w:t>
            </w:r>
            <w:r>
              <w:t xml:space="preserve"> </w:t>
            </w:r>
            <w:r>
              <w:t>The bill requires the commissioner to adopt rules necessary to i</w:t>
            </w:r>
            <w:r>
              <w:t xml:space="preserve">mplement the bill's provisions relating to </w:t>
            </w:r>
            <w:r w:rsidRPr="0002418A">
              <w:t>a short-term</w:t>
            </w:r>
            <w:r>
              <w:t xml:space="preserve"> </w:t>
            </w:r>
            <w:r w:rsidRPr="0002418A">
              <w:t>limited-duration insurance pol</w:t>
            </w:r>
            <w:r>
              <w:t>icy</w:t>
            </w:r>
            <w:r>
              <w:t xml:space="preserve"> not later than January 1, 2020. </w:t>
            </w:r>
          </w:p>
          <w:p w:rsidR="008423E4" w:rsidRPr="00835628" w:rsidRDefault="006C080D" w:rsidP="0092546C">
            <w:pPr>
              <w:rPr>
                <w:b/>
              </w:rPr>
            </w:pPr>
          </w:p>
        </w:tc>
      </w:tr>
      <w:tr w:rsidR="004502A0" w:rsidTr="00345119">
        <w:tc>
          <w:tcPr>
            <w:tcW w:w="9576" w:type="dxa"/>
          </w:tcPr>
          <w:p w:rsidR="008423E4" w:rsidRPr="00A8133F" w:rsidRDefault="006C080D" w:rsidP="009254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C080D" w:rsidP="0092546C"/>
          <w:p w:rsidR="008423E4" w:rsidRPr="003624F2" w:rsidRDefault="006C080D" w:rsidP="009254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409F0">
              <w:t>September 1, 2019.</w:t>
            </w:r>
          </w:p>
          <w:p w:rsidR="008423E4" w:rsidRPr="00233FDB" w:rsidRDefault="006C080D" w:rsidP="0092546C">
            <w:pPr>
              <w:rPr>
                <w:b/>
              </w:rPr>
            </w:pPr>
          </w:p>
        </w:tc>
      </w:tr>
      <w:tr w:rsidR="004502A0" w:rsidTr="00345119">
        <w:tc>
          <w:tcPr>
            <w:tcW w:w="9576" w:type="dxa"/>
          </w:tcPr>
          <w:p w:rsidR="00AB58C1" w:rsidRDefault="006C080D" w:rsidP="0092546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261C6" w:rsidRDefault="006C080D" w:rsidP="0092546C">
            <w:pPr>
              <w:jc w:val="both"/>
            </w:pPr>
          </w:p>
          <w:p w:rsidR="00D261C6" w:rsidRDefault="006C080D" w:rsidP="0092546C">
            <w:pPr>
              <w:jc w:val="both"/>
            </w:pPr>
            <w:r>
              <w:t xml:space="preserve">While C.S.H.B. 2507 may differ from the original in </w:t>
            </w:r>
            <w:r>
              <w:t>minor or nonsubstantive ways, the following summarizes the substantial differences between the introduced and committee substitute versions of the bill.</w:t>
            </w:r>
          </w:p>
          <w:p w:rsidR="00421C0A" w:rsidRDefault="006C080D" w:rsidP="0092546C">
            <w:pPr>
              <w:jc w:val="both"/>
            </w:pPr>
          </w:p>
          <w:p w:rsidR="00502ECA" w:rsidRDefault="006C080D" w:rsidP="0092546C">
            <w:pPr>
              <w:jc w:val="both"/>
            </w:pPr>
            <w:r>
              <w:t xml:space="preserve">The substitute changes the </w:t>
            </w:r>
            <w:r>
              <w:t xml:space="preserve">advertising disclosure </w:t>
            </w:r>
            <w:r>
              <w:t>from a specified notice statement in a prescribed fo</w:t>
            </w:r>
            <w:r>
              <w:t xml:space="preserve">rmat to </w:t>
            </w:r>
            <w:r>
              <w:t>an</w:t>
            </w:r>
            <w:r>
              <w:t xml:space="preserve"> applicable notice under certain federal </w:t>
            </w:r>
            <w:r>
              <w:t>regulations</w:t>
            </w:r>
            <w:r>
              <w:t>. The substitute</w:t>
            </w:r>
            <w:r>
              <w:t xml:space="preserve"> includes </w:t>
            </w:r>
            <w:r>
              <w:t>the following with respect to the advertising disclosure:</w:t>
            </w:r>
          </w:p>
          <w:p w:rsidR="00421C0A" w:rsidRDefault="006C080D" w:rsidP="0092546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an authorization for </w:t>
            </w:r>
            <w:r>
              <w:t>the commissioner by rule to prescribe modifications to the notice</w:t>
            </w:r>
            <w:r>
              <w:t>; and</w:t>
            </w:r>
          </w:p>
          <w:p w:rsidR="00502ECA" w:rsidRDefault="006C080D" w:rsidP="0092546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a requirement for </w:t>
            </w:r>
            <w:r>
              <w:t>the commissioner by rule to prescribe a procedure to communicate the disclosure on a website</w:t>
            </w:r>
            <w:r>
              <w:t>.</w:t>
            </w:r>
          </w:p>
          <w:p w:rsidR="00660D76" w:rsidRDefault="006C080D" w:rsidP="0092546C">
            <w:pPr>
              <w:jc w:val="both"/>
            </w:pPr>
          </w:p>
          <w:p w:rsidR="00660D76" w:rsidRDefault="006C080D" w:rsidP="0092546C">
            <w:pPr>
              <w:jc w:val="both"/>
            </w:pPr>
            <w:r>
              <w:t>The substitute revises the contents of the policy disclosure form</w:t>
            </w:r>
            <w:r>
              <w:t xml:space="preserve"> and includes a provision requiring the applicable rule to allow electronic acknowledgement of t</w:t>
            </w:r>
            <w:r>
              <w:t>he form.</w:t>
            </w:r>
          </w:p>
          <w:p w:rsidR="00660D76" w:rsidRDefault="006C080D" w:rsidP="0092546C">
            <w:pPr>
              <w:jc w:val="both"/>
            </w:pPr>
          </w:p>
          <w:p w:rsidR="00660D76" w:rsidRDefault="006C080D" w:rsidP="0092546C">
            <w:pPr>
              <w:jc w:val="both"/>
            </w:pPr>
            <w:r>
              <w:t>The substitute</w:t>
            </w:r>
            <w:r>
              <w:t>, with respect to the conditions under which an insurer may terminate a policy before the policy's expiration date,</w:t>
            </w:r>
            <w:r>
              <w:t xml:space="preserve"> </w:t>
            </w:r>
            <w:r>
              <w:t>revises</w:t>
            </w:r>
            <w:r>
              <w:t xml:space="preserve"> the condition </w:t>
            </w:r>
            <w:r>
              <w:t xml:space="preserve">authorizing termination for fraud by specifying that the insurer may so terminate because the </w:t>
            </w:r>
            <w:r w:rsidRPr="007226A5">
              <w:t xml:space="preserve">policyholder </w:t>
            </w:r>
            <w:r>
              <w:t>has performed</w:t>
            </w:r>
            <w:r w:rsidRPr="007226A5">
              <w:t xml:space="preserve"> an act or practice that constitutes fraud or </w:t>
            </w:r>
            <w:r>
              <w:t>making</w:t>
            </w:r>
            <w:r w:rsidRPr="007226A5">
              <w:t xml:space="preserve"> an intentional misrepresentation of a material fact relating to the policy.</w:t>
            </w:r>
          </w:p>
          <w:p w:rsidR="00D261C6" w:rsidRDefault="006C080D" w:rsidP="0092546C">
            <w:pPr>
              <w:jc w:val="both"/>
            </w:pPr>
          </w:p>
          <w:p w:rsidR="00D261C6" w:rsidRDefault="006C080D" w:rsidP="0092546C">
            <w:pPr>
              <w:jc w:val="both"/>
            </w:pPr>
            <w:r>
              <w:t xml:space="preserve">The substitute includes </w:t>
            </w:r>
            <w:r>
              <w:t xml:space="preserve">a </w:t>
            </w:r>
            <w:r>
              <w:t xml:space="preserve">provision prohibiting </w:t>
            </w:r>
            <w:r>
              <w:t>an insur</w:t>
            </w:r>
            <w:r>
              <w:t>er from</w:t>
            </w:r>
            <w:r>
              <w:t xml:space="preserve"> advertising or describing</w:t>
            </w:r>
            <w:r w:rsidRPr="007226A5">
              <w:t xml:space="preserve"> a policy a</w:t>
            </w:r>
            <w:r w:rsidRPr="007226A5">
              <w:t>s renewable</w:t>
            </w:r>
            <w:r>
              <w:t xml:space="preserve"> and setting out exceptions and limitations applicable to that prohibition</w:t>
            </w:r>
            <w:r>
              <w:t>.</w:t>
            </w:r>
          </w:p>
          <w:p w:rsidR="0014292D" w:rsidRDefault="006C080D" w:rsidP="0092546C">
            <w:pPr>
              <w:jc w:val="both"/>
            </w:pPr>
          </w:p>
          <w:p w:rsidR="00421C0A" w:rsidRDefault="006C080D" w:rsidP="0092546C">
            <w:pPr>
              <w:jc w:val="both"/>
            </w:pPr>
            <w:r>
              <w:t>The substitute does not include the following:</w:t>
            </w:r>
          </w:p>
          <w:p w:rsidR="00421C0A" w:rsidRDefault="006C080D" w:rsidP="0092546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 provision establishing</w:t>
            </w:r>
            <w:r w:rsidRPr="0014292D">
              <w:t xml:space="preserve"> a </w:t>
            </w:r>
            <w:r>
              <w:t xml:space="preserve">policy's </w:t>
            </w:r>
            <w:r w:rsidRPr="0014292D">
              <w:t>maximum duration</w:t>
            </w:r>
            <w:r>
              <w:t>;</w:t>
            </w:r>
          </w:p>
          <w:p w:rsidR="00421C0A" w:rsidRDefault="006C080D" w:rsidP="0092546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explicit prohibitions</w:t>
            </w:r>
            <w:r w:rsidRPr="0014292D">
              <w:t xml:space="preserve"> </w:t>
            </w:r>
            <w:r>
              <w:t xml:space="preserve">against </w:t>
            </w:r>
            <w:r w:rsidRPr="0014292D">
              <w:t xml:space="preserve">an insurer renewing a policy and issuing a </w:t>
            </w:r>
            <w:r>
              <w:t xml:space="preserve">new </w:t>
            </w:r>
            <w:r w:rsidRPr="0014292D">
              <w:t xml:space="preserve">policy to an individual covered by </w:t>
            </w:r>
            <w:r>
              <w:t xml:space="preserve">a </w:t>
            </w:r>
            <w:r w:rsidRPr="0014292D">
              <w:t>policy during the preceding 275 days</w:t>
            </w:r>
            <w:r>
              <w:t>; and</w:t>
            </w:r>
          </w:p>
          <w:p w:rsidR="00245365" w:rsidRDefault="006C080D" w:rsidP="0092546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a </w:t>
            </w:r>
            <w:r>
              <w:t>provision requiring</w:t>
            </w:r>
            <w:r w:rsidRPr="007226A5">
              <w:t xml:space="preserve"> an insurer</w:t>
            </w:r>
            <w:r>
              <w:t xml:space="preserve"> t</w:t>
            </w:r>
            <w:r w:rsidRPr="007226A5">
              <w:t xml:space="preserve">o file with TDI a copy of any </w:t>
            </w:r>
            <w:r>
              <w:t xml:space="preserve">advertising </w:t>
            </w:r>
            <w:r w:rsidRPr="007226A5">
              <w:t>materials</w:t>
            </w:r>
            <w:r>
              <w:t xml:space="preserve"> </w:t>
            </w:r>
            <w:r w:rsidRPr="007226A5">
              <w:t>the insurer intends to use in Texas</w:t>
            </w:r>
            <w:r>
              <w:t xml:space="preserve"> and requ</w:t>
            </w:r>
            <w:r>
              <w:t>iring approval from TDI for certain documents related to a policy.</w:t>
            </w:r>
          </w:p>
          <w:p w:rsidR="00421C0A" w:rsidRDefault="006C080D" w:rsidP="0092546C">
            <w:pPr>
              <w:jc w:val="both"/>
            </w:pPr>
            <w:r>
              <w:t xml:space="preserve"> </w:t>
            </w:r>
          </w:p>
          <w:p w:rsidR="007226A5" w:rsidRDefault="006C080D" w:rsidP="0092546C">
            <w:pPr>
              <w:jc w:val="both"/>
            </w:pPr>
          </w:p>
          <w:p w:rsidR="007226A5" w:rsidRDefault="006C080D" w:rsidP="0092546C">
            <w:pPr>
              <w:jc w:val="both"/>
            </w:pPr>
          </w:p>
          <w:p w:rsidR="00245365" w:rsidRDefault="006C080D" w:rsidP="0092546C">
            <w:pPr>
              <w:jc w:val="both"/>
            </w:pPr>
          </w:p>
          <w:p w:rsidR="007226A5" w:rsidRDefault="006C080D" w:rsidP="0092546C">
            <w:pPr>
              <w:jc w:val="both"/>
            </w:pPr>
          </w:p>
          <w:p w:rsidR="00D261C6" w:rsidRPr="00D261C6" w:rsidRDefault="006C080D" w:rsidP="0092546C">
            <w:pPr>
              <w:jc w:val="both"/>
            </w:pPr>
          </w:p>
        </w:tc>
      </w:tr>
    </w:tbl>
    <w:p w:rsidR="008423E4" w:rsidRPr="00BE0E75" w:rsidRDefault="006C080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C080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080D">
      <w:r>
        <w:separator/>
      </w:r>
    </w:p>
  </w:endnote>
  <w:endnote w:type="continuationSeparator" w:id="0">
    <w:p w:rsidR="00000000" w:rsidRDefault="006C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502A0" w:rsidTr="009C1E9A">
      <w:trPr>
        <w:cantSplit/>
      </w:trPr>
      <w:tc>
        <w:tcPr>
          <w:tcW w:w="0" w:type="pct"/>
        </w:tcPr>
        <w:p w:rsidR="00137D90" w:rsidRDefault="006C08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C08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C080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C08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C08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02A0" w:rsidTr="009C1E9A">
      <w:trPr>
        <w:cantSplit/>
      </w:trPr>
      <w:tc>
        <w:tcPr>
          <w:tcW w:w="0" w:type="pct"/>
        </w:tcPr>
        <w:p w:rsidR="00EC379B" w:rsidRDefault="006C080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C080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28894</w:t>
          </w:r>
        </w:p>
      </w:tc>
      <w:tc>
        <w:tcPr>
          <w:tcW w:w="2453" w:type="pct"/>
        </w:tcPr>
        <w:p w:rsidR="00EC379B" w:rsidRDefault="006C08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19.109.545</w:t>
          </w:r>
          <w:r>
            <w:fldChar w:fldCharType="end"/>
          </w:r>
        </w:p>
      </w:tc>
    </w:tr>
    <w:tr w:rsidR="004502A0" w:rsidTr="009C1E9A">
      <w:trPr>
        <w:cantSplit/>
      </w:trPr>
      <w:tc>
        <w:tcPr>
          <w:tcW w:w="0" w:type="pct"/>
        </w:tcPr>
        <w:p w:rsidR="00EC379B" w:rsidRDefault="006C08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C080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28295</w:t>
          </w:r>
        </w:p>
      </w:tc>
      <w:tc>
        <w:tcPr>
          <w:tcW w:w="2453" w:type="pct"/>
        </w:tcPr>
        <w:p w:rsidR="00EC379B" w:rsidRDefault="006C080D" w:rsidP="006D504F">
          <w:pPr>
            <w:pStyle w:val="Footer"/>
            <w:rPr>
              <w:rStyle w:val="PageNumber"/>
            </w:rPr>
          </w:pPr>
        </w:p>
        <w:p w:rsidR="00EC379B" w:rsidRDefault="006C080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502A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C080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C080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C080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080D">
      <w:r>
        <w:separator/>
      </w:r>
    </w:p>
  </w:footnote>
  <w:footnote w:type="continuationSeparator" w:id="0">
    <w:p w:rsidR="00000000" w:rsidRDefault="006C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C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14687"/>
    <w:multiLevelType w:val="hybridMultilevel"/>
    <w:tmpl w:val="F202CB08"/>
    <w:lvl w:ilvl="0" w:tplc="04D0F0B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86C274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84A3B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E784D4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E9A0EF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6DAEA7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F96A96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65AFB1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E19015D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5F61AA"/>
    <w:multiLevelType w:val="hybridMultilevel"/>
    <w:tmpl w:val="B9385202"/>
    <w:lvl w:ilvl="0" w:tplc="E3FC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8E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638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8BB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E1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C64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E3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EE4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7EB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6415F"/>
    <w:multiLevelType w:val="hybridMultilevel"/>
    <w:tmpl w:val="30E2D08E"/>
    <w:lvl w:ilvl="0" w:tplc="B1824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C4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3C26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42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66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43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62E4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0F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78A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A0"/>
    <w:rsid w:val="004502A0"/>
    <w:rsid w:val="006C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5F53E0-5B65-4D1E-AEBC-BB9A5F68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241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18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18A"/>
    <w:rPr>
      <w:b/>
      <w:bCs/>
    </w:rPr>
  </w:style>
  <w:style w:type="character" w:styleId="Hyperlink">
    <w:name w:val="Hyperlink"/>
    <w:basedOn w:val="DefaultParagraphFont"/>
    <w:unhideWhenUsed/>
    <w:rsid w:val="009E10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330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5514</Characters>
  <Application>Microsoft Office Word</Application>
  <DocSecurity>4</DocSecurity>
  <Lines>121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HB02507 (Committee Report (Substituted))</vt:lpstr>
    </vt:vector>
  </TitlesOfParts>
  <Company>State of Texas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28894</dc:subject>
  <dc:creator>State of Texas</dc:creator>
  <dc:description>HB 2507 by Lucio III-(H)Insurance (Substitute Document Number: 86R 28295)</dc:description>
  <cp:lastModifiedBy>Scotty Wimberley</cp:lastModifiedBy>
  <cp:revision>2</cp:revision>
  <cp:lastPrinted>2003-11-26T17:21:00Z</cp:lastPrinted>
  <dcterms:created xsi:type="dcterms:W3CDTF">2019-04-25T20:10:00Z</dcterms:created>
  <dcterms:modified xsi:type="dcterms:W3CDTF">2019-04-25T20:10:00Z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19.109.545</vt:lpwstr>
  </property>
</Properties>
</file>