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029" w:rsidTr="00345119">
        <w:tc>
          <w:tcPr>
            <w:tcW w:w="9576" w:type="dxa"/>
            <w:noWrap/>
          </w:tcPr>
          <w:p w:rsidR="008423E4" w:rsidRPr="0022177D" w:rsidRDefault="006F5A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5A2C" w:rsidP="008423E4">
      <w:pPr>
        <w:jc w:val="center"/>
      </w:pPr>
    </w:p>
    <w:p w:rsidR="008423E4" w:rsidRPr="00B31F0E" w:rsidRDefault="006F5A2C" w:rsidP="008423E4"/>
    <w:p w:rsidR="008423E4" w:rsidRPr="00742794" w:rsidRDefault="006F5A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029" w:rsidTr="00345119">
        <w:tc>
          <w:tcPr>
            <w:tcW w:w="9576" w:type="dxa"/>
          </w:tcPr>
          <w:p w:rsidR="008423E4" w:rsidRPr="00861995" w:rsidRDefault="006F5A2C" w:rsidP="00345119">
            <w:pPr>
              <w:jc w:val="right"/>
            </w:pPr>
            <w:r>
              <w:t>C.S.H.B. 2518</w:t>
            </w:r>
          </w:p>
        </w:tc>
      </w:tr>
      <w:tr w:rsidR="00054029" w:rsidTr="00345119">
        <w:tc>
          <w:tcPr>
            <w:tcW w:w="9576" w:type="dxa"/>
          </w:tcPr>
          <w:p w:rsidR="008423E4" w:rsidRPr="00861995" w:rsidRDefault="006F5A2C" w:rsidP="00771A3E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054029" w:rsidTr="00345119">
        <w:tc>
          <w:tcPr>
            <w:tcW w:w="9576" w:type="dxa"/>
          </w:tcPr>
          <w:p w:rsidR="008423E4" w:rsidRPr="00861995" w:rsidRDefault="006F5A2C" w:rsidP="00345119">
            <w:pPr>
              <w:jc w:val="right"/>
            </w:pPr>
            <w:r>
              <w:t>Criminal Jurisprudence</w:t>
            </w:r>
          </w:p>
        </w:tc>
      </w:tr>
      <w:tr w:rsidR="00054029" w:rsidTr="00345119">
        <w:tc>
          <w:tcPr>
            <w:tcW w:w="9576" w:type="dxa"/>
          </w:tcPr>
          <w:p w:rsidR="008423E4" w:rsidRDefault="006F5A2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F5A2C" w:rsidP="008423E4">
      <w:pPr>
        <w:tabs>
          <w:tab w:val="right" w:pos="9360"/>
        </w:tabs>
      </w:pPr>
    </w:p>
    <w:p w:rsidR="008423E4" w:rsidRDefault="006F5A2C" w:rsidP="008423E4"/>
    <w:p w:rsidR="008423E4" w:rsidRDefault="006F5A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029" w:rsidTr="00345119">
        <w:tc>
          <w:tcPr>
            <w:tcW w:w="9576" w:type="dxa"/>
          </w:tcPr>
          <w:p w:rsidR="008423E4" w:rsidRPr="00A8133F" w:rsidRDefault="006F5A2C" w:rsidP="00D32F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5A2C" w:rsidP="00D32F1B"/>
          <w:p w:rsidR="008423E4" w:rsidRDefault="006F5A2C" w:rsidP="00D32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reform the criminal justice system through the decriminalization and</w:t>
            </w:r>
            <w:r>
              <w:t xml:space="preserve"> decreasing of </w:t>
            </w:r>
            <w:r>
              <w:t xml:space="preserve">penalties for </w:t>
            </w:r>
            <w:r>
              <w:t xml:space="preserve">certain </w:t>
            </w:r>
            <w:r>
              <w:t>nonviolent, low</w:t>
            </w:r>
            <w:r>
              <w:noBreakHyphen/>
              <w:t>level offenses</w:t>
            </w:r>
            <w:r>
              <w:t xml:space="preserve">. Specifically, it has been suggested that </w:t>
            </w:r>
            <w:r>
              <w:t xml:space="preserve">the penalties for </w:t>
            </w:r>
            <w:r>
              <w:t xml:space="preserve">possession of </w:t>
            </w:r>
            <w:r>
              <w:t xml:space="preserve">certain </w:t>
            </w:r>
            <w:r>
              <w:t xml:space="preserve">small </w:t>
            </w:r>
            <w:r>
              <w:t xml:space="preserve">amounts of marihuana </w:t>
            </w:r>
            <w:r>
              <w:t>should be decreased</w:t>
            </w:r>
            <w:r>
              <w:t>.</w:t>
            </w:r>
            <w:r>
              <w:t xml:space="preserve"> </w:t>
            </w:r>
            <w:r>
              <w:t>C.S.H.B.</w:t>
            </w:r>
            <w:r>
              <w:t xml:space="preserve"> 2518 </w:t>
            </w:r>
            <w:r>
              <w:t xml:space="preserve">seeks to address this issue by </w:t>
            </w:r>
            <w:r>
              <w:t>decreas</w:t>
            </w:r>
            <w:r>
              <w:t>ing</w:t>
            </w:r>
            <w:r>
              <w:t xml:space="preserve"> the penalty for the possession </w:t>
            </w:r>
            <w:r>
              <w:t>of two ounces or less of marihuana</w:t>
            </w:r>
            <w:r>
              <w:t xml:space="preserve"> and prohibiting an arrest for such possession without a warrant</w:t>
            </w:r>
            <w:r>
              <w:t xml:space="preserve">. </w:t>
            </w:r>
          </w:p>
          <w:p w:rsidR="008423E4" w:rsidRPr="00E26B13" w:rsidRDefault="006F5A2C" w:rsidP="00D32F1B">
            <w:pPr>
              <w:rPr>
                <w:b/>
              </w:rPr>
            </w:pPr>
          </w:p>
        </w:tc>
      </w:tr>
      <w:tr w:rsidR="00054029" w:rsidTr="00345119">
        <w:tc>
          <w:tcPr>
            <w:tcW w:w="9576" w:type="dxa"/>
          </w:tcPr>
          <w:p w:rsidR="0017725B" w:rsidRDefault="006F5A2C" w:rsidP="00D32F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5A2C" w:rsidP="00D32F1B">
            <w:pPr>
              <w:rPr>
                <w:b/>
                <w:u w:val="single"/>
              </w:rPr>
            </w:pPr>
          </w:p>
          <w:p w:rsidR="00777151" w:rsidRPr="00777151" w:rsidRDefault="006F5A2C" w:rsidP="00D32F1B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6F5A2C" w:rsidP="00D32F1B">
            <w:pPr>
              <w:rPr>
                <w:b/>
                <w:u w:val="single"/>
              </w:rPr>
            </w:pPr>
          </w:p>
        </w:tc>
      </w:tr>
      <w:tr w:rsidR="00054029" w:rsidTr="00345119">
        <w:tc>
          <w:tcPr>
            <w:tcW w:w="9576" w:type="dxa"/>
          </w:tcPr>
          <w:p w:rsidR="008423E4" w:rsidRPr="00A8133F" w:rsidRDefault="006F5A2C" w:rsidP="00D32F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5A2C" w:rsidP="00D32F1B"/>
          <w:p w:rsidR="00777151" w:rsidRDefault="006F5A2C" w:rsidP="00D32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6F5A2C" w:rsidP="00D32F1B">
            <w:pPr>
              <w:rPr>
                <w:b/>
              </w:rPr>
            </w:pPr>
          </w:p>
        </w:tc>
      </w:tr>
      <w:tr w:rsidR="00054029" w:rsidTr="00345119">
        <w:tc>
          <w:tcPr>
            <w:tcW w:w="9576" w:type="dxa"/>
          </w:tcPr>
          <w:p w:rsidR="008423E4" w:rsidRPr="00A8133F" w:rsidRDefault="006F5A2C" w:rsidP="00BD78DE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5A2C" w:rsidP="00BD78DE">
            <w:pPr>
              <w:contextualSpacing/>
            </w:pPr>
          </w:p>
          <w:p w:rsidR="00777151" w:rsidRDefault="006F5A2C" w:rsidP="00BD78DE">
            <w:pPr>
              <w:pStyle w:val="Header"/>
              <w:contextualSpacing/>
              <w:jc w:val="both"/>
            </w:pPr>
            <w:r>
              <w:t xml:space="preserve">C.S.H.B. </w:t>
            </w:r>
            <w:r>
              <w:t xml:space="preserve">2518 </w:t>
            </w:r>
            <w:r>
              <w:t>amends the Health and Safety Code to decrease the penalty for possession of two</w:t>
            </w:r>
            <w:r>
              <w:t xml:space="preserve"> ounces or less of marihuana from a Class B misdemeanor to a Class C misdemeanor and </w:t>
            </w:r>
            <w:r>
              <w:t xml:space="preserve">to </w:t>
            </w:r>
            <w:r>
              <w:t xml:space="preserve">remove the penalty enhancement for </w:t>
            </w:r>
            <w:r>
              <w:t>possession of that amount committed</w:t>
            </w:r>
            <w:r>
              <w:t xml:space="preserve"> in certain drug</w:t>
            </w:r>
            <w:r>
              <w:noBreakHyphen/>
            </w:r>
            <w:r>
              <w:t>free zones.</w:t>
            </w:r>
            <w:r>
              <w:t xml:space="preserve"> Th</w:t>
            </w:r>
            <w:r>
              <w:t>ese provisions</w:t>
            </w:r>
            <w:r>
              <w:t xml:space="preserve"> appl</w:t>
            </w:r>
            <w:r>
              <w:t>y</w:t>
            </w:r>
            <w:r>
              <w:t xml:space="preserve"> to an offense committed before, on, or after S</w:t>
            </w:r>
            <w:r>
              <w:t>eptember 1, 2019, except that a final conviction for an offense that exists on that date is unaffected by the bill.</w:t>
            </w:r>
          </w:p>
          <w:p w:rsidR="004F24E7" w:rsidRDefault="006F5A2C" w:rsidP="00BD78DE">
            <w:pPr>
              <w:pStyle w:val="Header"/>
              <w:contextualSpacing/>
              <w:jc w:val="both"/>
            </w:pPr>
          </w:p>
          <w:p w:rsidR="004F24E7" w:rsidRDefault="006F5A2C" w:rsidP="00BD78DE">
            <w:pPr>
              <w:pStyle w:val="Header"/>
              <w:contextualSpacing/>
              <w:jc w:val="both"/>
            </w:pPr>
            <w:r>
              <w:t xml:space="preserve">C.S.H.B. 2518 amends the Code of Criminal Procedure to prohibit a peace officer or any other person from arresting an offender for </w:t>
            </w:r>
            <w:r>
              <w:t>such a f</w:t>
            </w:r>
            <w:r>
              <w:t xml:space="preserve">ine-only marihuana </w:t>
            </w:r>
            <w:r>
              <w:t xml:space="preserve">possession </w:t>
            </w:r>
            <w:r>
              <w:t>offense</w:t>
            </w:r>
            <w:r>
              <w:t xml:space="preserve"> without a warrant</w:t>
            </w:r>
            <w:r>
              <w:t>.</w:t>
            </w:r>
          </w:p>
          <w:p w:rsidR="004F24E7" w:rsidRDefault="006F5A2C" w:rsidP="00BD78DE">
            <w:pPr>
              <w:pStyle w:val="Header"/>
              <w:contextualSpacing/>
              <w:jc w:val="both"/>
            </w:pPr>
          </w:p>
          <w:p w:rsidR="004F24E7" w:rsidRDefault="006F5A2C" w:rsidP="00BD78DE">
            <w:pPr>
              <w:pStyle w:val="Header"/>
              <w:contextualSpacing/>
              <w:jc w:val="both"/>
            </w:pPr>
            <w:r>
              <w:t xml:space="preserve">C.S.H.B. 2518 amends the </w:t>
            </w:r>
            <w:r>
              <w:t xml:space="preserve">Transportation Code </w:t>
            </w:r>
            <w:r>
              <w:t xml:space="preserve">to establish that a person's license is not automatically suspended on conviction of </w:t>
            </w:r>
            <w:r>
              <w:t>such a fine-only marihuana possession</w:t>
            </w:r>
            <w:r>
              <w:t xml:space="preserve"> </w:t>
            </w:r>
            <w:r>
              <w:t>offense</w:t>
            </w:r>
            <w:r>
              <w:t xml:space="preserve"> and that the </w:t>
            </w:r>
            <w:r w:rsidRPr="00187B4F">
              <w:t>Departmen</w:t>
            </w:r>
            <w:r w:rsidRPr="00187B4F">
              <w:t xml:space="preserve">t of Public Safety </w:t>
            </w:r>
            <w:r>
              <w:t xml:space="preserve">is not prohibited from issuing a driver's license to a person convicted </w:t>
            </w:r>
            <w:r>
              <w:t xml:space="preserve">of </w:t>
            </w:r>
            <w:r>
              <w:t xml:space="preserve">such </w:t>
            </w:r>
            <w:r>
              <w:t xml:space="preserve">an offense </w:t>
            </w:r>
            <w:r>
              <w:t>who, on the date of the conviction, did not hold a driver's license.</w:t>
            </w:r>
            <w:r>
              <w:t xml:space="preserve"> These provisions take effect on the 91st day after the date the office of the</w:t>
            </w:r>
            <w:r>
              <w:t xml:space="preserve"> attorney general publishes in the Texas Register a </w:t>
            </w:r>
            <w:r>
              <w:t xml:space="preserve">certain specified </w:t>
            </w:r>
            <w:r>
              <w:t xml:space="preserve">finding </w:t>
            </w:r>
            <w:r>
              <w:t>regarding</w:t>
            </w:r>
            <w:r>
              <w:t xml:space="preserve"> </w:t>
            </w:r>
            <w:r>
              <w:t>the legislature</w:t>
            </w:r>
            <w:r>
              <w:t>'s</w:t>
            </w:r>
            <w:r>
              <w:t xml:space="preserve"> adopt</w:t>
            </w:r>
            <w:r>
              <w:t>ion of</w:t>
            </w:r>
            <w:r>
              <w:t xml:space="preserve"> a </w:t>
            </w:r>
            <w:r>
              <w:t xml:space="preserve">certain </w:t>
            </w:r>
            <w:r>
              <w:t>resolution</w:t>
            </w:r>
            <w:r>
              <w:t>,</w:t>
            </w:r>
            <w:r>
              <w:t xml:space="preserve"> </w:t>
            </w:r>
            <w:r>
              <w:t>the governor's submission</w:t>
            </w:r>
            <w:r>
              <w:t xml:space="preserve"> </w:t>
            </w:r>
            <w:r>
              <w:t>of related certification</w:t>
            </w:r>
            <w:r>
              <w:t>s</w:t>
            </w:r>
            <w:r>
              <w:t xml:space="preserve"> </w:t>
            </w:r>
            <w:r>
              <w:t>to the U.S. secretary of transportation</w:t>
            </w:r>
            <w:r>
              <w:t>,</w:t>
            </w:r>
            <w:r>
              <w:t xml:space="preserve"> and </w:t>
            </w:r>
            <w:r>
              <w:t>the secretary</w:t>
            </w:r>
            <w:r>
              <w:t xml:space="preserve">'s </w:t>
            </w:r>
            <w:r>
              <w:t>respon</w:t>
            </w:r>
            <w:r>
              <w:t xml:space="preserve">se </w:t>
            </w:r>
            <w:r>
              <w:t>and certifi</w:t>
            </w:r>
            <w:r>
              <w:t>cation</w:t>
            </w:r>
            <w:r>
              <w:t xml:space="preserve"> that highway funds will not be withheld from the state </w:t>
            </w:r>
            <w:r>
              <w:t>for certain related purposes</w:t>
            </w:r>
            <w:r>
              <w:t>.</w:t>
            </w:r>
          </w:p>
          <w:p w:rsidR="00777151" w:rsidRDefault="006F5A2C" w:rsidP="00BD78DE">
            <w:pPr>
              <w:pStyle w:val="Header"/>
              <w:contextualSpacing/>
              <w:jc w:val="both"/>
            </w:pPr>
          </w:p>
          <w:p w:rsidR="00327ADB" w:rsidRDefault="006F5A2C" w:rsidP="00BD78DE">
            <w:pPr>
              <w:pStyle w:val="Header"/>
              <w:contextualSpacing/>
              <w:jc w:val="both"/>
            </w:pPr>
            <w:r>
              <w:t>C.S.H.B.</w:t>
            </w:r>
            <w:r>
              <w:t xml:space="preserve"> </w:t>
            </w:r>
            <w:r>
              <w:t xml:space="preserve">2518 </w:t>
            </w:r>
            <w:r>
              <w:t>amends the Government Code to make conforming changes.</w:t>
            </w:r>
            <w:r>
              <w:t xml:space="preserve"> </w:t>
            </w:r>
          </w:p>
          <w:p w:rsidR="008423E4" w:rsidRDefault="006F5A2C" w:rsidP="00BD78DE">
            <w:pPr>
              <w:contextualSpacing/>
              <w:rPr>
                <w:b/>
              </w:rPr>
            </w:pPr>
          </w:p>
          <w:p w:rsidR="001B0B92" w:rsidRPr="00835628" w:rsidRDefault="006F5A2C" w:rsidP="00BD78DE">
            <w:pPr>
              <w:contextualSpacing/>
              <w:rPr>
                <w:b/>
              </w:rPr>
            </w:pPr>
          </w:p>
        </w:tc>
      </w:tr>
      <w:tr w:rsidR="00054029" w:rsidTr="00345119">
        <w:tc>
          <w:tcPr>
            <w:tcW w:w="9576" w:type="dxa"/>
          </w:tcPr>
          <w:p w:rsidR="008423E4" w:rsidRPr="00A8133F" w:rsidRDefault="006F5A2C" w:rsidP="00D32F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5A2C" w:rsidP="00D32F1B"/>
          <w:p w:rsidR="008423E4" w:rsidRPr="003624F2" w:rsidRDefault="006F5A2C" w:rsidP="00D32F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2019.</w:t>
            </w:r>
          </w:p>
          <w:p w:rsidR="008423E4" w:rsidRPr="00233FDB" w:rsidRDefault="006F5A2C" w:rsidP="00D32F1B">
            <w:pPr>
              <w:rPr>
                <w:b/>
              </w:rPr>
            </w:pPr>
          </w:p>
        </w:tc>
      </w:tr>
      <w:tr w:rsidR="00054029" w:rsidTr="00345119">
        <w:tc>
          <w:tcPr>
            <w:tcW w:w="9576" w:type="dxa"/>
          </w:tcPr>
          <w:p w:rsidR="00771A3E" w:rsidRDefault="006F5A2C" w:rsidP="00D32F1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927E7" w:rsidRDefault="006F5A2C" w:rsidP="00D32F1B">
            <w:pPr>
              <w:jc w:val="both"/>
            </w:pPr>
          </w:p>
          <w:p w:rsidR="000927E7" w:rsidRDefault="006F5A2C" w:rsidP="00D32F1B">
            <w:pPr>
              <w:jc w:val="both"/>
            </w:pPr>
            <w:r>
              <w:t>While C.S.H.B. 2518 may differ from the original in minor or nonsubstantive ways, the following summarizes the substantial differences between the introduced and committee substitute versions of the bill.</w:t>
            </w:r>
          </w:p>
          <w:p w:rsidR="000927E7" w:rsidRDefault="006F5A2C" w:rsidP="00D32F1B">
            <w:pPr>
              <w:jc w:val="both"/>
            </w:pPr>
          </w:p>
          <w:p w:rsidR="00E037CF" w:rsidRDefault="006F5A2C" w:rsidP="00D32F1B">
            <w:pPr>
              <w:jc w:val="both"/>
            </w:pPr>
            <w:r>
              <w:t>The substit</w:t>
            </w:r>
            <w:r>
              <w:t>ute</w:t>
            </w:r>
            <w:r>
              <w:t xml:space="preserve"> </w:t>
            </w:r>
            <w:r>
              <w:t>includes provisions making the</w:t>
            </w:r>
            <w:r>
              <w:t xml:space="preserve"> </w:t>
            </w:r>
            <w:r>
              <w:t xml:space="preserve">marihuana possession </w:t>
            </w:r>
            <w:r>
              <w:t>penalty decrease</w:t>
            </w:r>
            <w:r>
              <w:t xml:space="preserve"> and removal of the penalty enhancement</w:t>
            </w:r>
            <w:r>
              <w:t xml:space="preserve"> applicable </w:t>
            </w:r>
            <w:r w:rsidRPr="000927E7">
              <w:t xml:space="preserve">to an offense committed before, on, or after September 1, 2019, </w:t>
            </w:r>
            <w:r>
              <w:t xml:space="preserve">and establishes </w:t>
            </w:r>
            <w:r w:rsidRPr="000927E7">
              <w:t>that a final conviction for an offense that exists on</w:t>
            </w:r>
            <w:r w:rsidRPr="000927E7">
              <w:t xml:space="preserve"> that date is unaffected by the bill.</w:t>
            </w:r>
          </w:p>
          <w:p w:rsidR="00E037CF" w:rsidRDefault="006F5A2C" w:rsidP="00D32F1B">
            <w:pPr>
              <w:jc w:val="both"/>
            </w:pPr>
          </w:p>
          <w:p w:rsidR="00FE29B3" w:rsidRDefault="006F5A2C" w:rsidP="00D32F1B">
            <w:pPr>
              <w:jc w:val="both"/>
            </w:pPr>
            <w:r>
              <w:t>The substitute includes</w:t>
            </w:r>
            <w:r>
              <w:t xml:space="preserve"> prohibition</w:t>
            </w:r>
            <w:r>
              <w:t>s</w:t>
            </w:r>
            <w:r>
              <w:t xml:space="preserve"> against</w:t>
            </w:r>
            <w:r w:rsidRPr="00FE29B3">
              <w:t xml:space="preserve"> a peace officer or any other person arresting a</w:t>
            </w:r>
            <w:r>
              <w:t>n offender</w:t>
            </w:r>
            <w:r>
              <w:t xml:space="preserve"> </w:t>
            </w:r>
            <w:r w:rsidRPr="00FE29B3">
              <w:t xml:space="preserve">for </w:t>
            </w:r>
            <w:r w:rsidRPr="00DF74B9">
              <w:t xml:space="preserve">possession of two ounces or less of marihuana </w:t>
            </w:r>
            <w:r>
              <w:t>without a warrant</w:t>
            </w:r>
            <w:r w:rsidRPr="00FE29B3">
              <w:t>.</w:t>
            </w:r>
          </w:p>
          <w:p w:rsidR="00E037CF" w:rsidRDefault="006F5A2C" w:rsidP="00D32F1B">
            <w:pPr>
              <w:jc w:val="both"/>
            </w:pPr>
          </w:p>
          <w:p w:rsidR="000927E7" w:rsidRDefault="006F5A2C" w:rsidP="00D32F1B">
            <w:pPr>
              <w:jc w:val="both"/>
            </w:pPr>
            <w:r>
              <w:t xml:space="preserve">The substitute includes provisions </w:t>
            </w:r>
            <w:r w:rsidRPr="00FE29B3">
              <w:t>establish</w:t>
            </w:r>
            <w:r>
              <w:t>ing</w:t>
            </w:r>
            <w:r w:rsidRPr="00FE29B3">
              <w:t xml:space="preserve"> that a person's license is not automatically suspended on conviction of</w:t>
            </w:r>
            <w:r>
              <w:t xml:space="preserve"> such</w:t>
            </w:r>
            <w:r w:rsidRPr="00FE29B3">
              <w:t xml:space="preserve"> </w:t>
            </w:r>
            <w:r>
              <w:t xml:space="preserve">an </w:t>
            </w:r>
            <w:r w:rsidRPr="00FE29B3">
              <w:t>offense</w:t>
            </w:r>
            <w:r>
              <w:t xml:space="preserve"> </w:t>
            </w:r>
            <w:r w:rsidRPr="00FE29B3">
              <w:t xml:space="preserve">and that </w:t>
            </w:r>
            <w:r>
              <w:t>DPS</w:t>
            </w:r>
            <w:r w:rsidRPr="00FE29B3">
              <w:t xml:space="preserve"> is not prohibited from issuing a driver's license to a person</w:t>
            </w:r>
            <w:r>
              <w:t xml:space="preserve"> so</w:t>
            </w:r>
            <w:r w:rsidRPr="00FE29B3">
              <w:t xml:space="preserve"> convicted</w:t>
            </w:r>
            <w:r>
              <w:t xml:space="preserve"> and </w:t>
            </w:r>
            <w:r>
              <w:t>setting a different</w:t>
            </w:r>
            <w:r>
              <w:t xml:space="preserve"> effect</w:t>
            </w:r>
            <w:r>
              <w:t>ive date</w:t>
            </w:r>
            <w:r>
              <w:t xml:space="preserve"> </w:t>
            </w:r>
            <w:r>
              <w:t>for</w:t>
            </w:r>
            <w:r>
              <w:t xml:space="preserve"> those provision</w:t>
            </w:r>
            <w:r>
              <w:t>s</w:t>
            </w:r>
            <w:r>
              <w:t>.</w:t>
            </w:r>
          </w:p>
          <w:p w:rsidR="000927E7" w:rsidRPr="000927E7" w:rsidRDefault="006F5A2C" w:rsidP="00D32F1B">
            <w:pPr>
              <w:jc w:val="both"/>
            </w:pPr>
          </w:p>
        </w:tc>
      </w:tr>
      <w:tr w:rsidR="00054029" w:rsidTr="00345119">
        <w:tc>
          <w:tcPr>
            <w:tcW w:w="9576" w:type="dxa"/>
          </w:tcPr>
          <w:p w:rsidR="00771A3E" w:rsidRPr="009C1E9A" w:rsidRDefault="006F5A2C" w:rsidP="00D32F1B">
            <w:pPr>
              <w:rPr>
                <w:b/>
                <w:u w:val="single"/>
              </w:rPr>
            </w:pPr>
          </w:p>
        </w:tc>
      </w:tr>
      <w:tr w:rsidR="00054029" w:rsidTr="00345119">
        <w:tc>
          <w:tcPr>
            <w:tcW w:w="9576" w:type="dxa"/>
          </w:tcPr>
          <w:p w:rsidR="00771A3E" w:rsidRPr="00771A3E" w:rsidRDefault="006F5A2C" w:rsidP="00D32F1B">
            <w:pPr>
              <w:jc w:val="both"/>
            </w:pPr>
          </w:p>
        </w:tc>
      </w:tr>
    </w:tbl>
    <w:p w:rsidR="008423E4" w:rsidRPr="00BE0E75" w:rsidRDefault="006F5A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5A2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5A2C">
      <w:r>
        <w:separator/>
      </w:r>
    </w:p>
  </w:endnote>
  <w:endnote w:type="continuationSeparator" w:id="0">
    <w:p w:rsidR="00000000" w:rsidRDefault="006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029" w:rsidTr="009C1E9A">
      <w:trPr>
        <w:cantSplit/>
      </w:trPr>
      <w:tc>
        <w:tcPr>
          <w:tcW w:w="0" w:type="pct"/>
        </w:tcPr>
        <w:p w:rsidR="00137D90" w:rsidRDefault="006F5A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5A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5A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5A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5A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029" w:rsidTr="009C1E9A">
      <w:trPr>
        <w:cantSplit/>
      </w:trPr>
      <w:tc>
        <w:tcPr>
          <w:tcW w:w="0" w:type="pct"/>
        </w:tcPr>
        <w:p w:rsidR="00EC379B" w:rsidRDefault="006F5A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5A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29286</w:t>
          </w:r>
        </w:p>
      </w:tc>
      <w:tc>
        <w:tcPr>
          <w:tcW w:w="2453" w:type="pct"/>
        </w:tcPr>
        <w:p w:rsidR="00EC379B" w:rsidRDefault="006F5A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19.114.363</w:t>
          </w:r>
          <w:r>
            <w:fldChar w:fldCharType="end"/>
          </w:r>
        </w:p>
      </w:tc>
    </w:tr>
    <w:tr w:rsidR="00054029" w:rsidTr="009C1E9A">
      <w:trPr>
        <w:cantSplit/>
      </w:trPr>
      <w:tc>
        <w:tcPr>
          <w:tcW w:w="0" w:type="pct"/>
        </w:tcPr>
        <w:p w:rsidR="00EC379B" w:rsidRDefault="006F5A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5A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25478</w:t>
          </w:r>
        </w:p>
      </w:tc>
      <w:tc>
        <w:tcPr>
          <w:tcW w:w="2453" w:type="pct"/>
        </w:tcPr>
        <w:p w:rsidR="00EC379B" w:rsidRDefault="006F5A2C" w:rsidP="006D504F">
          <w:pPr>
            <w:pStyle w:val="Footer"/>
            <w:rPr>
              <w:rStyle w:val="PageNumber"/>
            </w:rPr>
          </w:pPr>
        </w:p>
        <w:p w:rsidR="00EC379B" w:rsidRDefault="006F5A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0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5A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F5A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5A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5A2C">
      <w:r>
        <w:separator/>
      </w:r>
    </w:p>
  </w:footnote>
  <w:footnote w:type="continuationSeparator" w:id="0">
    <w:p w:rsidR="00000000" w:rsidRDefault="006F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5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31EA"/>
    <w:multiLevelType w:val="hybridMultilevel"/>
    <w:tmpl w:val="21BED05C"/>
    <w:lvl w:ilvl="0" w:tplc="AE8A6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4D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CA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6D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CA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E2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3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0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A8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29"/>
    <w:rsid w:val="00054029"/>
    <w:rsid w:val="006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0F6CF2-2B89-4C39-B7DD-37EEA686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45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4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45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45CB"/>
    <w:rPr>
      <w:b/>
      <w:bCs/>
    </w:rPr>
  </w:style>
  <w:style w:type="paragraph" w:styleId="Revision">
    <w:name w:val="Revision"/>
    <w:hidden/>
    <w:uiPriority w:val="99"/>
    <w:semiHidden/>
    <w:rsid w:val="009345CB"/>
    <w:rPr>
      <w:sz w:val="24"/>
      <w:szCs w:val="24"/>
    </w:rPr>
  </w:style>
  <w:style w:type="character" w:styleId="Hyperlink">
    <w:name w:val="Hyperlink"/>
    <w:basedOn w:val="DefaultParagraphFont"/>
    <w:unhideWhenUsed/>
    <w:rsid w:val="00946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3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3133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HB02518 (Committee Report (Substituted))</vt:lpstr>
    </vt:vector>
  </TitlesOfParts>
  <Company>State of Texas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29286</dc:subject>
  <dc:creator>State of Texas</dc:creator>
  <dc:description>HB 2518 by Toth-(H)Criminal Jurisprudence (Substitute Document Number: 86R 25478)</dc:description>
  <cp:lastModifiedBy>Stacey Nicchio</cp:lastModifiedBy>
  <cp:revision>2</cp:revision>
  <cp:lastPrinted>2003-11-26T17:21:00Z</cp:lastPrinted>
  <dcterms:created xsi:type="dcterms:W3CDTF">2019-04-30T22:33:00Z</dcterms:created>
  <dcterms:modified xsi:type="dcterms:W3CDTF">2019-04-30T22:33:00Z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19.114.363</vt:lpwstr>
  </property>
</Properties>
</file>