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A103B" w:rsidTr="00345119">
        <w:tc>
          <w:tcPr>
            <w:tcW w:w="9576" w:type="dxa"/>
            <w:noWrap/>
          </w:tcPr>
          <w:p w:rsidR="008423E4" w:rsidRPr="0022177D" w:rsidRDefault="005B5C4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B5C40" w:rsidP="008423E4">
      <w:pPr>
        <w:jc w:val="center"/>
      </w:pPr>
    </w:p>
    <w:p w:rsidR="008423E4" w:rsidRPr="00B31F0E" w:rsidRDefault="005B5C40" w:rsidP="008423E4"/>
    <w:p w:rsidR="008423E4" w:rsidRPr="00742794" w:rsidRDefault="005B5C4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A103B" w:rsidTr="00345119">
        <w:tc>
          <w:tcPr>
            <w:tcW w:w="9576" w:type="dxa"/>
          </w:tcPr>
          <w:p w:rsidR="008423E4" w:rsidRPr="00861995" w:rsidRDefault="005B5C40" w:rsidP="00345119">
            <w:pPr>
              <w:jc w:val="right"/>
            </w:pPr>
            <w:r>
              <w:t>C.S.H.B. 2545</w:t>
            </w:r>
          </w:p>
        </w:tc>
      </w:tr>
      <w:tr w:rsidR="001A103B" w:rsidTr="00345119">
        <w:tc>
          <w:tcPr>
            <w:tcW w:w="9576" w:type="dxa"/>
          </w:tcPr>
          <w:p w:rsidR="008423E4" w:rsidRPr="00861995" w:rsidRDefault="005B5C40" w:rsidP="00165ADA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1A103B" w:rsidTr="00345119">
        <w:tc>
          <w:tcPr>
            <w:tcW w:w="9576" w:type="dxa"/>
          </w:tcPr>
          <w:p w:rsidR="008423E4" w:rsidRPr="00861995" w:rsidRDefault="005B5C40" w:rsidP="00345119">
            <w:pPr>
              <w:jc w:val="right"/>
            </w:pPr>
            <w:r>
              <w:t>Ways &amp; Means</w:t>
            </w:r>
          </w:p>
        </w:tc>
      </w:tr>
      <w:tr w:rsidR="001A103B" w:rsidTr="00345119">
        <w:tc>
          <w:tcPr>
            <w:tcW w:w="9576" w:type="dxa"/>
          </w:tcPr>
          <w:p w:rsidR="008423E4" w:rsidRDefault="005B5C40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B5C40" w:rsidP="008423E4">
      <w:pPr>
        <w:tabs>
          <w:tab w:val="right" w:pos="9360"/>
        </w:tabs>
      </w:pPr>
    </w:p>
    <w:p w:rsidR="008423E4" w:rsidRDefault="005B5C40" w:rsidP="008423E4"/>
    <w:p w:rsidR="008423E4" w:rsidRDefault="005B5C4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A103B" w:rsidTr="00345119">
        <w:tc>
          <w:tcPr>
            <w:tcW w:w="9576" w:type="dxa"/>
          </w:tcPr>
          <w:p w:rsidR="008423E4" w:rsidRPr="00A8133F" w:rsidRDefault="005B5C40" w:rsidP="00D4614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B5C40" w:rsidP="00D46141"/>
          <w:p w:rsidR="008423E4" w:rsidRDefault="005B5C40" w:rsidP="00D46141">
            <w:pPr>
              <w:pStyle w:val="Header"/>
              <w:jc w:val="both"/>
            </w:pPr>
            <w:r>
              <w:t>The</w:t>
            </w:r>
            <w:r>
              <w:t>re are concerns that the</w:t>
            </w:r>
            <w:r>
              <w:t xml:space="preserve"> increasing demand for water</w:t>
            </w:r>
            <w:r>
              <w:t xml:space="preserve"> </w:t>
            </w:r>
            <w:r>
              <w:t xml:space="preserve">accompanying Texas' </w:t>
            </w:r>
            <w:r>
              <w:t>recent population grow</w:t>
            </w:r>
            <w:r>
              <w:t>th</w:t>
            </w:r>
            <w:r>
              <w:t>, coupled with drought</w:t>
            </w:r>
            <w:r>
              <w:t xml:space="preserve"> conditions</w:t>
            </w:r>
            <w:r>
              <w:t xml:space="preserve">, has compelled water planners to consider all potential sources of water in their planning efforts, including </w:t>
            </w:r>
            <w:r>
              <w:t xml:space="preserve">sources such as </w:t>
            </w:r>
            <w:r>
              <w:t>seawater, brackish groundwater</w:t>
            </w:r>
            <w:r>
              <w:t>,</w:t>
            </w:r>
            <w:r>
              <w:t xml:space="preserve"> and water </w:t>
            </w:r>
            <w:r>
              <w:t xml:space="preserve">produced </w:t>
            </w:r>
            <w:r>
              <w:t xml:space="preserve">from oil and natural gas extraction activity. </w:t>
            </w:r>
            <w:r>
              <w:t xml:space="preserve">It has been </w:t>
            </w:r>
            <w:r>
              <w:t xml:space="preserve">further </w:t>
            </w:r>
            <w:r>
              <w:t>noted</w:t>
            </w:r>
            <w:r>
              <w:t>, howev</w:t>
            </w:r>
            <w:r>
              <w:t>er,</w:t>
            </w:r>
            <w:r>
              <w:t xml:space="preserve"> that</w:t>
            </w:r>
            <w:r>
              <w:t xml:space="preserve"> the high cost</w:t>
            </w:r>
            <w:r>
              <w:t>s applicable to treating those potential sources</w:t>
            </w:r>
            <w:r>
              <w:t xml:space="preserve"> continue to be an impediment to advancing </w:t>
            </w:r>
            <w:r>
              <w:t xml:space="preserve">water </w:t>
            </w:r>
            <w:r>
              <w:t xml:space="preserve">desalination in Texas. </w:t>
            </w:r>
            <w:r w:rsidRPr="00634C3A"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2545</w:t>
            </w:r>
            <w:r>
              <w:t>, in an effort to provide a new source of water for beneficial use in Texas,</w:t>
            </w:r>
            <w:r>
              <w:t xml:space="preserve"> </w:t>
            </w:r>
            <w:r>
              <w:t xml:space="preserve">seeks to </w:t>
            </w:r>
            <w:r>
              <w:t>incentiv</w:t>
            </w:r>
            <w:r>
              <w:t>iz</w:t>
            </w:r>
            <w:r>
              <w:t>e wat</w:t>
            </w:r>
            <w:r>
              <w:t xml:space="preserve">er desalination by providing a franchise tax credit to desalination operators who treat </w:t>
            </w:r>
            <w:r>
              <w:t>source water that has a high total dissolved solids concentration</w:t>
            </w:r>
            <w:r>
              <w:t>.</w:t>
            </w:r>
          </w:p>
          <w:p w:rsidR="008423E4" w:rsidRPr="00E26B13" w:rsidRDefault="005B5C40" w:rsidP="00D46141">
            <w:pPr>
              <w:rPr>
                <w:b/>
              </w:rPr>
            </w:pPr>
          </w:p>
        </w:tc>
      </w:tr>
      <w:tr w:rsidR="001A103B" w:rsidTr="00345119">
        <w:tc>
          <w:tcPr>
            <w:tcW w:w="9576" w:type="dxa"/>
          </w:tcPr>
          <w:p w:rsidR="0017725B" w:rsidRDefault="005B5C40" w:rsidP="00D4614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B5C40" w:rsidP="00D46141">
            <w:pPr>
              <w:rPr>
                <w:b/>
                <w:u w:val="single"/>
              </w:rPr>
            </w:pPr>
          </w:p>
          <w:p w:rsidR="00570AE0" w:rsidRPr="00570AE0" w:rsidRDefault="005B5C40" w:rsidP="00D46141">
            <w:pPr>
              <w:jc w:val="both"/>
            </w:pPr>
            <w:r>
              <w:t xml:space="preserve">It is the committee's opinion that this bill does not expressly create a </w:t>
            </w:r>
            <w:r>
              <w:t>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B5C40" w:rsidP="00D46141">
            <w:pPr>
              <w:rPr>
                <w:b/>
                <w:u w:val="single"/>
              </w:rPr>
            </w:pPr>
          </w:p>
        </w:tc>
      </w:tr>
      <w:tr w:rsidR="001A103B" w:rsidTr="00345119">
        <w:tc>
          <w:tcPr>
            <w:tcW w:w="9576" w:type="dxa"/>
          </w:tcPr>
          <w:p w:rsidR="008423E4" w:rsidRPr="00A8133F" w:rsidRDefault="005B5C40" w:rsidP="00D4614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B5C40" w:rsidP="00D46141"/>
          <w:p w:rsidR="00614335" w:rsidRDefault="005B5C40" w:rsidP="00D461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>
              <w:t xml:space="preserve">comptroller of public accounts and the </w:t>
            </w:r>
            <w:r>
              <w:t>Texas Commission on Environmental Quality in SECTION 2 of this bill.</w:t>
            </w:r>
          </w:p>
          <w:p w:rsidR="008423E4" w:rsidRPr="00E21FDC" w:rsidRDefault="005B5C40" w:rsidP="00D46141">
            <w:pPr>
              <w:rPr>
                <w:b/>
              </w:rPr>
            </w:pPr>
          </w:p>
        </w:tc>
      </w:tr>
      <w:tr w:rsidR="001A103B" w:rsidTr="00345119">
        <w:tc>
          <w:tcPr>
            <w:tcW w:w="9576" w:type="dxa"/>
          </w:tcPr>
          <w:p w:rsidR="008423E4" w:rsidRDefault="005B5C40" w:rsidP="00D4614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7A0BF9" w:rsidRPr="00634C3A" w:rsidRDefault="005B5C40" w:rsidP="00D46141">
            <w:pPr>
              <w:rPr>
                <w:b/>
              </w:rPr>
            </w:pPr>
          </w:p>
          <w:p w:rsidR="002F139A" w:rsidRDefault="005B5C40" w:rsidP="00D461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34C3A">
              <w:t>C.S.</w:t>
            </w:r>
            <w:r>
              <w:t xml:space="preserve">H.B. 2545 amends the Tax Code to </w:t>
            </w:r>
            <w:r>
              <w:t xml:space="preserve">make a </w:t>
            </w:r>
            <w:r w:rsidRPr="004618B8">
              <w:t xml:space="preserve">person </w:t>
            </w:r>
            <w:r w:rsidRPr="004618B8">
              <w:t>who</w:t>
            </w:r>
            <w:r>
              <w:t xml:space="preserve"> is a taxable entity holding a permit to </w:t>
            </w:r>
            <w:r w:rsidRPr="004618B8">
              <w:t xml:space="preserve">operate a </w:t>
            </w:r>
            <w:r>
              <w:t xml:space="preserve">water </w:t>
            </w:r>
            <w:r w:rsidRPr="004618B8">
              <w:t xml:space="preserve">desalination facility </w:t>
            </w:r>
            <w:r>
              <w:t>with</w:t>
            </w:r>
            <w:r w:rsidRPr="004618B8">
              <w:t xml:space="preserve"> all </w:t>
            </w:r>
            <w:r>
              <w:t xml:space="preserve">necessary </w:t>
            </w:r>
            <w:r w:rsidRPr="004618B8">
              <w:t xml:space="preserve">state and federal permits </w:t>
            </w:r>
            <w:r w:rsidRPr="004E6EC1">
              <w:t>that produces fresh water of usable quality</w:t>
            </w:r>
            <w:r>
              <w:t xml:space="preserve"> </w:t>
            </w:r>
            <w:r w:rsidRPr="004E6EC1">
              <w:t>at a desalination facilit</w:t>
            </w:r>
            <w:r>
              <w:t>y</w:t>
            </w:r>
            <w:r>
              <w:t xml:space="preserve"> </w:t>
            </w:r>
            <w:r>
              <w:t xml:space="preserve">eligible for a </w:t>
            </w:r>
            <w:r>
              <w:t xml:space="preserve">franchise tax </w:t>
            </w:r>
            <w:r>
              <w:t xml:space="preserve">credit </w:t>
            </w:r>
            <w:r>
              <w:t>in a</w:t>
            </w:r>
            <w:r>
              <w:t xml:space="preserve"> total amount </w:t>
            </w:r>
            <w:r>
              <w:t>equa</w:t>
            </w:r>
            <w:r>
              <w:t>l to</w:t>
            </w:r>
            <w:r>
              <w:t xml:space="preserve"> 50 cents,</w:t>
            </w:r>
            <w:r>
              <w:t xml:space="preserve"> $1, $5, or $17 for each 1,000 gallons of source water treated by the permit holder during the period on which the report is based</w:t>
            </w:r>
            <w:r>
              <w:t>,</w:t>
            </w:r>
            <w:r>
              <w:t xml:space="preserve"> with the exact amount of the credit being based on the total dissolved solids concentrations in the treated water and contingent on </w:t>
            </w:r>
            <w:r>
              <w:t xml:space="preserve">the </w:t>
            </w:r>
            <w:r>
              <w:t xml:space="preserve">resulting fresh </w:t>
            </w:r>
            <w:r>
              <w:t>water being put to beneficial use in Texas</w:t>
            </w:r>
            <w:r>
              <w:t xml:space="preserve">. </w:t>
            </w:r>
            <w:r>
              <w:t>The bill authorizes t</w:t>
            </w:r>
            <w:r w:rsidRPr="008D26C6">
              <w:t xml:space="preserve">he permit holder </w:t>
            </w:r>
            <w:r>
              <w:t>to</w:t>
            </w:r>
            <w:r w:rsidRPr="008D26C6">
              <w:t xml:space="preserve"> treat source water</w:t>
            </w:r>
            <w:r w:rsidRPr="008D26C6">
              <w:t xml:space="preserve"> with differing total dissolved solids concentrations during the peri</w:t>
            </w:r>
            <w:r>
              <w:t xml:space="preserve">od on which the report is based and entitles the permit holder </w:t>
            </w:r>
            <w:r w:rsidRPr="008D26C6">
              <w:t>to prorate the credit by the duration of processing time associated with each concentration during the period.</w:t>
            </w:r>
            <w:r>
              <w:t xml:space="preserve"> The bill spec</w:t>
            </w:r>
            <w:r>
              <w:t>ifies that t</w:t>
            </w:r>
            <w:r w:rsidRPr="002F139A">
              <w:t>reated water may be counted only once in determining the amount of the cr</w:t>
            </w:r>
            <w:r>
              <w:t>edit and that o</w:t>
            </w:r>
            <w:r w:rsidRPr="002F139A">
              <w:t xml:space="preserve">nly one permit holder </w:t>
            </w:r>
            <w:r>
              <w:t>may</w:t>
            </w:r>
            <w:r w:rsidRPr="002F139A">
              <w:t xml:space="preserve"> claim a credit for the same treated water.</w:t>
            </w:r>
            <w:r>
              <w:t xml:space="preserve"> </w:t>
            </w:r>
            <w:r>
              <w:t xml:space="preserve">The bill limits the </w:t>
            </w:r>
            <w:r>
              <w:t>applicability of</w:t>
            </w:r>
            <w:r>
              <w:t xml:space="preserve"> </w:t>
            </w:r>
            <w:r>
              <w:t>its</w:t>
            </w:r>
            <w:r>
              <w:t xml:space="preserve"> provisions </w:t>
            </w:r>
            <w:r>
              <w:t xml:space="preserve">relating to the tax credit </w:t>
            </w:r>
            <w:r>
              <w:t>to a des</w:t>
            </w:r>
            <w:r>
              <w:t>alination facility</w:t>
            </w:r>
            <w:r>
              <w:t xml:space="preserve"> that begins initial operations on or after January 1, 2020, and that treats water under the jurisdiction of the Texas Commission on Environmental Quality</w:t>
            </w:r>
            <w:r>
              <w:t xml:space="preserve"> (TCEQ) </w:t>
            </w:r>
            <w:r>
              <w:t>or the Railroad Commission of Texas</w:t>
            </w:r>
            <w:r>
              <w:t>.</w:t>
            </w:r>
          </w:p>
          <w:p w:rsidR="002F139A" w:rsidRDefault="005B5C40" w:rsidP="00D461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B6E6B" w:rsidRDefault="005B5C40" w:rsidP="00D46141">
            <w:pPr>
              <w:pStyle w:val="Header"/>
              <w:jc w:val="both"/>
            </w:pPr>
            <w:r w:rsidRPr="00634C3A">
              <w:t>C.S.</w:t>
            </w:r>
            <w:r w:rsidRPr="002F139A">
              <w:t xml:space="preserve">H.B. 2545 </w:t>
            </w:r>
            <w:r>
              <w:t>requires a permit holder</w:t>
            </w:r>
            <w:r>
              <w:t xml:space="preserve"> to submit monthly statements to the Texas Commission on Environmental Quality and </w:t>
            </w:r>
            <w:r>
              <w:t xml:space="preserve">to </w:t>
            </w:r>
            <w:r>
              <w:t>apply for certain certification from TCEQ to be eligible to claim a credit</w:t>
            </w:r>
            <w:r>
              <w:t xml:space="preserve"> and sets out related provisions</w:t>
            </w:r>
            <w:r>
              <w:t xml:space="preserve">. The bill </w:t>
            </w:r>
            <w:r>
              <w:t xml:space="preserve">provides a process for applying for the credit and </w:t>
            </w:r>
            <w:r>
              <w:t>pr</w:t>
            </w:r>
            <w:r>
              <w:t>ohibits the total credit claimed for a report, including the amount of any carryforward, from exceeding the amount of franchise tax due for the report after all other applicable tax credits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 xml:space="preserve">provides for the carryforward </w:t>
            </w:r>
            <w:r>
              <w:t xml:space="preserve">of </w:t>
            </w:r>
            <w:r>
              <w:t>any</w:t>
            </w:r>
            <w:r w:rsidRPr="004C23CC">
              <w:t xml:space="preserve"> unused credit </w:t>
            </w:r>
            <w:r>
              <w:t xml:space="preserve">that </w:t>
            </w:r>
            <w:r>
              <w:t>exceeds that limitation</w:t>
            </w:r>
            <w:r w:rsidRPr="004C23CC">
              <w:t xml:space="preserve"> for not more than five consecutive reports</w:t>
            </w:r>
            <w:r>
              <w:t xml:space="preserve"> </w:t>
            </w:r>
            <w:r>
              <w:t>and</w:t>
            </w:r>
            <w:r>
              <w:t xml:space="preserve"> for the sale or assignment of a</w:t>
            </w:r>
            <w:r>
              <w:t>ll or part of</w:t>
            </w:r>
            <w:r>
              <w:t xml:space="preserve"> </w:t>
            </w:r>
            <w:r>
              <w:t>a credit</w:t>
            </w:r>
            <w:r w:rsidRPr="004C23CC">
              <w:t>.</w:t>
            </w:r>
            <w:r>
              <w:t xml:space="preserve"> </w:t>
            </w:r>
            <w:r>
              <w:t>The bill sets out provisions relating to that sale or assignment and the use of a sold or assigned credit.</w:t>
            </w:r>
            <w:r>
              <w:t xml:space="preserve"> </w:t>
            </w:r>
            <w:r>
              <w:t>The bill requires the comptroller of public accounts and TCEQ to adopt rules necessary to implement the bill</w:t>
            </w:r>
            <w:r>
              <w:t>'</w:t>
            </w:r>
            <w:r>
              <w:t xml:space="preserve">s provisions relating to </w:t>
            </w:r>
            <w:r w:rsidRPr="00705DDA">
              <w:t>a tax credit for the operation of a desalination facility</w:t>
            </w:r>
            <w:r>
              <w:t xml:space="preserve">. </w:t>
            </w:r>
            <w:r>
              <w:t xml:space="preserve">The bill's provisions relating to </w:t>
            </w:r>
            <w:r>
              <w:t xml:space="preserve">such </w:t>
            </w:r>
            <w:r w:rsidRPr="00705DDA">
              <w:t xml:space="preserve">a tax credit </w:t>
            </w:r>
            <w:r>
              <w:t>expire Dece</w:t>
            </w:r>
            <w:r>
              <w:t>mber 31, 2024.</w:t>
            </w:r>
            <w:r w:rsidRPr="00705DDA">
              <w:t xml:space="preserve"> </w:t>
            </w:r>
            <w:r>
              <w:t>The bill</w:t>
            </w:r>
            <w:r w:rsidRPr="00705DDA">
              <w:t xml:space="preserve"> </w:t>
            </w:r>
            <w:r>
              <w:t>establishes</w:t>
            </w:r>
            <w:r w:rsidRPr="00705DDA">
              <w:t xml:space="preserve"> that the expiration of those provisions does not affect a carryforward credit or those credits for which a taxable entity is eligible after the expiration of those provisions based on source water treated before the </w:t>
            </w:r>
            <w:r>
              <w:t>expi</w:t>
            </w:r>
            <w:r>
              <w:t xml:space="preserve">ration </w:t>
            </w:r>
            <w:r w:rsidRPr="00705DDA">
              <w:t>date.</w:t>
            </w:r>
          </w:p>
          <w:p w:rsidR="004618B8" w:rsidRDefault="005B5C40" w:rsidP="00D461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469D9" w:rsidRDefault="005B5C40" w:rsidP="00D46141">
            <w:pPr>
              <w:pStyle w:val="Header"/>
              <w:jc w:val="both"/>
            </w:pPr>
            <w:r>
              <w:t>C.S.</w:t>
            </w:r>
            <w:r>
              <w:t xml:space="preserve">H.B. 2545 </w:t>
            </w:r>
            <w:r>
              <w:t xml:space="preserve">includes a temporary provision set to expire December 31, 2024, that </w:t>
            </w:r>
            <w:r>
              <w:t xml:space="preserve">requires a taxable entity that is a permit holder to exclude from </w:t>
            </w:r>
            <w:r>
              <w:t>its</w:t>
            </w:r>
            <w:r>
              <w:t xml:space="preserve"> total revenue when determining its taxable margin any amount received from the sale of mi</w:t>
            </w:r>
            <w:r>
              <w:t>nerals or materials extracted from water by the desalination facility during the desalination process.</w:t>
            </w:r>
          </w:p>
          <w:p w:rsidR="008423E4" w:rsidRPr="00835628" w:rsidRDefault="005B5C40" w:rsidP="00D46141">
            <w:pPr>
              <w:pStyle w:val="Header"/>
              <w:jc w:val="both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   </w:t>
            </w:r>
          </w:p>
        </w:tc>
      </w:tr>
      <w:tr w:rsidR="001A103B" w:rsidTr="00345119">
        <w:tc>
          <w:tcPr>
            <w:tcW w:w="9576" w:type="dxa"/>
          </w:tcPr>
          <w:p w:rsidR="008423E4" w:rsidRPr="00A8133F" w:rsidRDefault="005B5C40" w:rsidP="00D4614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B5C40" w:rsidP="00D46141"/>
          <w:p w:rsidR="008423E4" w:rsidRPr="003624F2" w:rsidRDefault="005B5C40" w:rsidP="00D461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January 1, </w:t>
            </w:r>
            <w:r>
              <w:t>2021</w:t>
            </w:r>
            <w:r>
              <w:t>.</w:t>
            </w:r>
          </w:p>
          <w:p w:rsidR="008423E4" w:rsidRPr="00233FDB" w:rsidRDefault="005B5C40" w:rsidP="00D46141">
            <w:pPr>
              <w:rPr>
                <w:b/>
              </w:rPr>
            </w:pPr>
          </w:p>
        </w:tc>
      </w:tr>
      <w:tr w:rsidR="001A103B" w:rsidTr="00345119">
        <w:tc>
          <w:tcPr>
            <w:tcW w:w="9576" w:type="dxa"/>
          </w:tcPr>
          <w:p w:rsidR="00634C3A" w:rsidRDefault="005B5C40" w:rsidP="00D4614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7A0BF9" w:rsidRPr="00634C3A" w:rsidRDefault="005B5C40" w:rsidP="00D46141">
            <w:pPr>
              <w:jc w:val="both"/>
              <w:rPr>
                <w:b/>
                <w:u w:val="single"/>
              </w:rPr>
            </w:pPr>
          </w:p>
          <w:p w:rsidR="00634C3A" w:rsidRDefault="005B5C40" w:rsidP="00D46141">
            <w:pPr>
              <w:jc w:val="both"/>
            </w:pPr>
            <w:r>
              <w:t xml:space="preserve">While C.S.H.B. 2545 may differ from the original in minor or nonsubstantive ways, the following summarizes the substantial differences between the introduced and committee substitute versions of the bill. </w:t>
            </w:r>
          </w:p>
          <w:p w:rsidR="00634C3A" w:rsidRDefault="005B5C40" w:rsidP="00D46141">
            <w:pPr>
              <w:jc w:val="both"/>
            </w:pPr>
          </w:p>
          <w:p w:rsidR="00E7204E" w:rsidRDefault="005B5C40" w:rsidP="00D46141">
            <w:pPr>
              <w:jc w:val="both"/>
            </w:pPr>
            <w:r>
              <w:t>The substitute</w:t>
            </w:r>
            <w:r>
              <w:t xml:space="preserve"> </w:t>
            </w:r>
            <w:r>
              <w:t>changes the</w:t>
            </w:r>
            <w:r>
              <w:t xml:space="preserve"> amounts of tax </w:t>
            </w:r>
            <w:r>
              <w:t>credit</w:t>
            </w:r>
            <w:r>
              <w:t>s</w:t>
            </w:r>
            <w:r>
              <w:t xml:space="preserve"> </w:t>
            </w:r>
            <w:r>
              <w:t>to which an eligible permit holder is entitled</w:t>
            </w:r>
            <w:r>
              <w:t xml:space="preserve"> per 1,000 gallons </w:t>
            </w:r>
            <w:r>
              <w:t xml:space="preserve">of source water treated </w:t>
            </w:r>
            <w:r>
              <w:t xml:space="preserve">and </w:t>
            </w:r>
            <w:r>
              <w:t>certain characteristics of the source water</w:t>
            </w:r>
            <w:r>
              <w:t xml:space="preserve"> impacting the amount of the tax credit</w:t>
            </w:r>
            <w:r>
              <w:t>.</w:t>
            </w:r>
            <w:r>
              <w:t xml:space="preserve"> </w:t>
            </w:r>
          </w:p>
          <w:p w:rsidR="00E7204E" w:rsidRDefault="005B5C40" w:rsidP="00D46141">
            <w:pPr>
              <w:jc w:val="both"/>
            </w:pPr>
          </w:p>
          <w:p w:rsidR="00D61A46" w:rsidRDefault="005B5C40" w:rsidP="00D46141">
            <w:pPr>
              <w:jc w:val="both"/>
            </w:pPr>
            <w:r>
              <w:t xml:space="preserve">The </w:t>
            </w:r>
            <w:r>
              <w:t>substitute</w:t>
            </w:r>
            <w:r>
              <w:t xml:space="preserve"> includes a limitation on the </w:t>
            </w:r>
            <w:r w:rsidRPr="00D61A46">
              <w:t xml:space="preserve">applicability of </w:t>
            </w:r>
            <w:r>
              <w:t>its</w:t>
            </w:r>
            <w:r w:rsidRPr="00D61A46">
              <w:t xml:space="preserve"> provisions </w:t>
            </w:r>
            <w:r w:rsidRPr="00D61A46">
              <w:t xml:space="preserve">relating to the tax credit to a desalination facility that begins initial operations on or after January 1, 2020, and that treats water under the jurisdiction of </w:t>
            </w:r>
            <w:r>
              <w:t>TCEQ</w:t>
            </w:r>
            <w:r w:rsidRPr="00D61A46">
              <w:t xml:space="preserve"> or the </w:t>
            </w:r>
            <w:r>
              <w:t>RRC</w:t>
            </w:r>
            <w:r>
              <w:t>. The substitute clarifies that an entity to which its provision</w:t>
            </w:r>
            <w:r>
              <w:t>s</w:t>
            </w:r>
            <w:r>
              <w:t xml:space="preserve"> apply is a ta</w:t>
            </w:r>
            <w:r>
              <w:t xml:space="preserve">xable entity. </w:t>
            </w:r>
          </w:p>
          <w:p w:rsidR="00D61A46" w:rsidRDefault="005B5C40" w:rsidP="00D46141">
            <w:pPr>
              <w:jc w:val="both"/>
            </w:pPr>
          </w:p>
          <w:p w:rsidR="00DA1CB2" w:rsidRDefault="005B5C40" w:rsidP="00D46141">
            <w:pPr>
              <w:jc w:val="both"/>
            </w:pPr>
            <w:r>
              <w:t xml:space="preserve">The substitute includes provisions making the bill's provisions temporary and set to expire December 31, 2024. </w:t>
            </w:r>
            <w:r>
              <w:t xml:space="preserve">The substitute includes a provision establishing </w:t>
            </w:r>
            <w:r>
              <w:t>that the expiration of provisions</w:t>
            </w:r>
            <w:r>
              <w:t xml:space="preserve"> relating to the tax credit</w:t>
            </w:r>
            <w:r>
              <w:t xml:space="preserve"> does not affect a c</w:t>
            </w:r>
            <w:r>
              <w:t xml:space="preserve">arryforward credit or </w:t>
            </w:r>
            <w:r w:rsidRPr="00E935A5">
              <w:t xml:space="preserve">those credits for which a taxable entity is eligible after the </w:t>
            </w:r>
            <w:r>
              <w:t xml:space="preserve">expiration of those provisions </w:t>
            </w:r>
            <w:r w:rsidRPr="00E935A5">
              <w:t xml:space="preserve">based on source water treated before the </w:t>
            </w:r>
            <w:r>
              <w:t xml:space="preserve">expiration </w:t>
            </w:r>
            <w:r w:rsidRPr="00E935A5">
              <w:t>date.</w:t>
            </w:r>
            <w:r>
              <w:t xml:space="preserve"> </w:t>
            </w:r>
          </w:p>
          <w:p w:rsidR="00DA1CB2" w:rsidRDefault="005B5C40" w:rsidP="00D46141">
            <w:pPr>
              <w:jc w:val="both"/>
            </w:pPr>
          </w:p>
          <w:p w:rsidR="00DA1CB2" w:rsidRDefault="005B5C40" w:rsidP="00D46141">
            <w:pPr>
              <w:jc w:val="both"/>
            </w:pPr>
            <w:r>
              <w:t xml:space="preserve">The substitute changes the </w:t>
            </w:r>
            <w:r>
              <w:t xml:space="preserve">bill's </w:t>
            </w:r>
            <w:r>
              <w:t>effective date from January 1, 2020, to Januar</w:t>
            </w:r>
            <w:r>
              <w:t>y 1, 2021.</w:t>
            </w:r>
          </w:p>
          <w:p w:rsidR="00634C3A" w:rsidRPr="00634C3A" w:rsidRDefault="005B5C40" w:rsidP="00D46141">
            <w:pPr>
              <w:jc w:val="both"/>
            </w:pPr>
          </w:p>
        </w:tc>
      </w:tr>
      <w:tr w:rsidR="001A103B" w:rsidTr="00345119">
        <w:tc>
          <w:tcPr>
            <w:tcW w:w="9576" w:type="dxa"/>
          </w:tcPr>
          <w:p w:rsidR="00165ADA" w:rsidRPr="009C1E9A" w:rsidRDefault="005B5C40" w:rsidP="00D46141">
            <w:pPr>
              <w:rPr>
                <w:b/>
                <w:u w:val="single"/>
              </w:rPr>
            </w:pPr>
          </w:p>
        </w:tc>
      </w:tr>
      <w:tr w:rsidR="001A103B" w:rsidTr="00345119">
        <w:tc>
          <w:tcPr>
            <w:tcW w:w="9576" w:type="dxa"/>
          </w:tcPr>
          <w:p w:rsidR="00165ADA" w:rsidRPr="00165ADA" w:rsidRDefault="005B5C40" w:rsidP="00D46141">
            <w:pPr>
              <w:jc w:val="both"/>
            </w:pPr>
          </w:p>
        </w:tc>
      </w:tr>
    </w:tbl>
    <w:p w:rsidR="008423E4" w:rsidRPr="00BE0E75" w:rsidRDefault="005B5C4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B5C4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B5C40">
      <w:r>
        <w:separator/>
      </w:r>
    </w:p>
  </w:endnote>
  <w:endnote w:type="continuationSeparator" w:id="0">
    <w:p w:rsidR="00000000" w:rsidRDefault="005B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5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A103B" w:rsidTr="009C1E9A">
      <w:trPr>
        <w:cantSplit/>
      </w:trPr>
      <w:tc>
        <w:tcPr>
          <w:tcW w:w="0" w:type="pct"/>
        </w:tcPr>
        <w:p w:rsidR="00137D90" w:rsidRDefault="005B5C4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B5C4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B5C4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B5C4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B5C4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A103B" w:rsidTr="009C1E9A">
      <w:trPr>
        <w:cantSplit/>
      </w:trPr>
      <w:tc>
        <w:tcPr>
          <w:tcW w:w="0" w:type="pct"/>
        </w:tcPr>
        <w:p w:rsidR="00EC379B" w:rsidRDefault="005B5C4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B5C4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26567</w:t>
          </w:r>
        </w:p>
      </w:tc>
      <w:tc>
        <w:tcPr>
          <w:tcW w:w="2453" w:type="pct"/>
        </w:tcPr>
        <w:p w:rsidR="00EC379B" w:rsidRDefault="005B5C4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19.101.1662</w:t>
          </w:r>
          <w:r>
            <w:fldChar w:fldCharType="end"/>
          </w:r>
        </w:p>
      </w:tc>
    </w:tr>
    <w:tr w:rsidR="001A103B" w:rsidTr="009C1E9A">
      <w:trPr>
        <w:cantSplit/>
      </w:trPr>
      <w:tc>
        <w:tcPr>
          <w:tcW w:w="0" w:type="pct"/>
        </w:tcPr>
        <w:p w:rsidR="00EC379B" w:rsidRDefault="005B5C4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B5C4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25933</w:t>
          </w:r>
        </w:p>
      </w:tc>
      <w:tc>
        <w:tcPr>
          <w:tcW w:w="2453" w:type="pct"/>
        </w:tcPr>
        <w:p w:rsidR="00EC379B" w:rsidRDefault="005B5C40" w:rsidP="006D504F">
          <w:pPr>
            <w:pStyle w:val="Footer"/>
            <w:rPr>
              <w:rStyle w:val="PageNumber"/>
            </w:rPr>
          </w:pPr>
        </w:p>
        <w:p w:rsidR="00EC379B" w:rsidRDefault="005B5C4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A103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B5C4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5B5C4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B5C4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5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B5C40">
      <w:r>
        <w:separator/>
      </w:r>
    </w:p>
  </w:footnote>
  <w:footnote w:type="continuationSeparator" w:id="0">
    <w:p w:rsidR="00000000" w:rsidRDefault="005B5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5C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5C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5C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D2140"/>
    <w:multiLevelType w:val="hybridMultilevel"/>
    <w:tmpl w:val="8A660F26"/>
    <w:lvl w:ilvl="0" w:tplc="A03CA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8462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2E5D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7C32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36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5E45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4E4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52B1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CAD9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86221"/>
    <w:multiLevelType w:val="hybridMultilevel"/>
    <w:tmpl w:val="CE02C132"/>
    <w:lvl w:ilvl="0" w:tplc="BC324A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5A07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44EE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041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E25D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5E5C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42E3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4A89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C61B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3B"/>
    <w:rsid w:val="001A103B"/>
    <w:rsid w:val="005B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FFD3A8-06E1-4FBE-8F6D-388F048A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D26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26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26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2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2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4932</Characters>
  <Application>Microsoft Office Word</Application>
  <DocSecurity>4</DocSecurity>
  <Lines>102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HB02545 (Committee Report (Substituted))</vt:lpstr>
    </vt:vector>
  </TitlesOfParts>
  <Company>State of Texas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26567</dc:subject>
  <dc:creator>State of Texas</dc:creator>
  <dc:description>HB 2545 by Guillen-(H)Ways &amp; Means (Substitute Document Number: 86R 25933)</dc:description>
  <cp:lastModifiedBy>Stacey Nicchio</cp:lastModifiedBy>
  <cp:revision>2</cp:revision>
  <cp:lastPrinted>2003-11-26T17:21:00Z</cp:lastPrinted>
  <dcterms:created xsi:type="dcterms:W3CDTF">2019-04-16T17:03:00Z</dcterms:created>
  <dcterms:modified xsi:type="dcterms:W3CDTF">2019-04-16T17:03:00Z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19.101.1662</vt:lpwstr>
  </property>
</Properties>
</file>