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3355" w:rsidTr="00345119">
        <w:tc>
          <w:tcPr>
            <w:tcW w:w="9576" w:type="dxa"/>
            <w:noWrap/>
          </w:tcPr>
          <w:p w:rsidR="008423E4" w:rsidRPr="0022177D" w:rsidRDefault="00AD0D2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0D22" w:rsidP="008423E4">
      <w:pPr>
        <w:jc w:val="center"/>
      </w:pPr>
    </w:p>
    <w:p w:rsidR="008423E4" w:rsidRPr="00B31F0E" w:rsidRDefault="00AD0D22" w:rsidP="008423E4"/>
    <w:p w:rsidR="008423E4" w:rsidRPr="00742794" w:rsidRDefault="00AD0D2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3355" w:rsidTr="00345119">
        <w:tc>
          <w:tcPr>
            <w:tcW w:w="9576" w:type="dxa"/>
          </w:tcPr>
          <w:p w:rsidR="008423E4" w:rsidRPr="00861995" w:rsidRDefault="00AD0D22" w:rsidP="00345119">
            <w:pPr>
              <w:jc w:val="right"/>
            </w:pPr>
            <w:r>
              <w:t>H.B. 2552</w:t>
            </w:r>
          </w:p>
        </w:tc>
      </w:tr>
      <w:tr w:rsidR="00333355" w:rsidTr="00345119">
        <w:tc>
          <w:tcPr>
            <w:tcW w:w="9576" w:type="dxa"/>
          </w:tcPr>
          <w:p w:rsidR="008423E4" w:rsidRPr="00861995" w:rsidRDefault="00AD0D22" w:rsidP="005A7F3F">
            <w:pPr>
              <w:jc w:val="right"/>
            </w:pPr>
            <w:r>
              <w:t xml:space="preserve">By: </w:t>
            </w:r>
            <w:r>
              <w:t>Bucy</w:t>
            </w:r>
          </w:p>
        </w:tc>
      </w:tr>
      <w:tr w:rsidR="00333355" w:rsidTr="00345119">
        <w:tc>
          <w:tcPr>
            <w:tcW w:w="9576" w:type="dxa"/>
          </w:tcPr>
          <w:p w:rsidR="008423E4" w:rsidRPr="00861995" w:rsidRDefault="00AD0D22" w:rsidP="00345119">
            <w:pPr>
              <w:jc w:val="right"/>
            </w:pPr>
            <w:r>
              <w:t>Elections</w:t>
            </w:r>
          </w:p>
        </w:tc>
      </w:tr>
      <w:tr w:rsidR="00333355" w:rsidTr="00345119">
        <w:tc>
          <w:tcPr>
            <w:tcW w:w="9576" w:type="dxa"/>
          </w:tcPr>
          <w:p w:rsidR="008423E4" w:rsidRDefault="00AD0D22" w:rsidP="005A7F3F">
            <w:pPr>
              <w:jc w:val="right"/>
            </w:pPr>
            <w:r>
              <w:t>Committee Report (Unamended)</w:t>
            </w:r>
          </w:p>
        </w:tc>
      </w:tr>
    </w:tbl>
    <w:p w:rsidR="008423E4" w:rsidRDefault="00AD0D22" w:rsidP="008423E4">
      <w:pPr>
        <w:tabs>
          <w:tab w:val="right" w:pos="9360"/>
        </w:tabs>
      </w:pPr>
    </w:p>
    <w:p w:rsidR="008423E4" w:rsidRDefault="00AD0D22" w:rsidP="008423E4"/>
    <w:p w:rsidR="008423E4" w:rsidRDefault="00AD0D2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33355" w:rsidTr="00345119">
        <w:tc>
          <w:tcPr>
            <w:tcW w:w="9576" w:type="dxa"/>
          </w:tcPr>
          <w:p w:rsidR="008423E4" w:rsidRPr="00A8133F" w:rsidRDefault="00AD0D22" w:rsidP="001B0C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0D22" w:rsidP="001B0CA9"/>
          <w:p w:rsidR="008423E4" w:rsidRDefault="00AD0D22" w:rsidP="001B0C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>
              <w:t xml:space="preserve"> number of </w:t>
            </w:r>
            <w:r>
              <w:t>authorities are authorized to</w:t>
            </w:r>
            <w:r w:rsidRPr="00292BA2">
              <w:t xml:space="preserve"> </w:t>
            </w:r>
            <w:r>
              <w:t>administer</w:t>
            </w:r>
            <w:r>
              <w:t xml:space="preserve"> </w:t>
            </w:r>
            <w:r w:rsidRPr="00292BA2">
              <w:t>election</w:t>
            </w:r>
            <w:r>
              <w:t>s</w:t>
            </w:r>
            <w:r w:rsidRPr="00292BA2">
              <w:t xml:space="preserve"> in Texas</w:t>
            </w:r>
            <w:r>
              <w:t>,</w:t>
            </w:r>
            <w:r>
              <w:t xml:space="preserve"> </w:t>
            </w:r>
            <w:r>
              <w:t>including entities such</w:t>
            </w:r>
            <w:r>
              <w:t xml:space="preserve"> as school districts and</w:t>
            </w:r>
            <w:r>
              <w:t xml:space="preserve"> special districts</w:t>
            </w:r>
            <w:r>
              <w:t>.</w:t>
            </w:r>
            <w:r>
              <w:t xml:space="preserve"> </w:t>
            </w:r>
            <w:r>
              <w:t xml:space="preserve">It has been suggested that a </w:t>
            </w:r>
            <w:r>
              <w:t xml:space="preserve">database of </w:t>
            </w:r>
            <w:r>
              <w:t xml:space="preserve">information </w:t>
            </w:r>
            <w:r>
              <w:t>for all elections held in Texas</w:t>
            </w:r>
            <w:r>
              <w:t xml:space="preserve"> would </w:t>
            </w:r>
            <w:r>
              <w:t>help</w:t>
            </w:r>
            <w:r>
              <w:t xml:space="preserve"> voters </w:t>
            </w:r>
            <w:r>
              <w:t xml:space="preserve">more </w:t>
            </w:r>
            <w:r>
              <w:t>fully participat</w:t>
            </w:r>
            <w:r>
              <w:t>e</w:t>
            </w:r>
            <w:r>
              <w:t xml:space="preserve"> in </w:t>
            </w:r>
            <w:r>
              <w:t xml:space="preserve">the </w:t>
            </w:r>
            <w:r>
              <w:t xml:space="preserve">election </w:t>
            </w:r>
            <w:r>
              <w:t xml:space="preserve">process </w:t>
            </w:r>
            <w:r>
              <w:t xml:space="preserve">by allowing them to </w:t>
            </w:r>
            <w:r>
              <w:t>be more informed about things such as election dates and the</w:t>
            </w:r>
            <w:r w:rsidRPr="00EE3DE0">
              <w:t xml:space="preserve"> office</w:t>
            </w:r>
            <w:r>
              <w:t>s</w:t>
            </w:r>
            <w:r w:rsidRPr="00EE3DE0">
              <w:t xml:space="preserve"> </w:t>
            </w:r>
            <w:r>
              <w:t xml:space="preserve">that are on the </w:t>
            </w:r>
            <w:r>
              <w:t>ballot</w:t>
            </w:r>
            <w:r>
              <w:t>.</w:t>
            </w:r>
            <w:r>
              <w:t xml:space="preserve"> </w:t>
            </w:r>
            <w:r>
              <w:t xml:space="preserve">H.B. 2552 </w:t>
            </w:r>
            <w:r>
              <w:t xml:space="preserve">seeks to make </w:t>
            </w:r>
            <w:r>
              <w:t>election</w:t>
            </w:r>
            <w:r>
              <w:t xml:space="preserve"> information more accessible to voters by requiring </w:t>
            </w:r>
            <w:r>
              <w:t xml:space="preserve">the </w:t>
            </w:r>
            <w:r>
              <w:t>s</w:t>
            </w:r>
            <w:r>
              <w:t xml:space="preserve">ecretary of </w:t>
            </w:r>
            <w:r>
              <w:t>s</w:t>
            </w:r>
            <w:r>
              <w:t>tate</w:t>
            </w:r>
            <w:r>
              <w:t xml:space="preserve"> to post </w:t>
            </w:r>
            <w:r>
              <w:t xml:space="preserve">a database </w:t>
            </w:r>
            <w:r>
              <w:t xml:space="preserve">on </w:t>
            </w:r>
            <w:r>
              <w:t xml:space="preserve">the secretary's </w:t>
            </w:r>
            <w:r>
              <w:t>website</w:t>
            </w:r>
            <w:r>
              <w:t xml:space="preserve"> </w:t>
            </w:r>
            <w:r>
              <w:t xml:space="preserve">containing </w:t>
            </w:r>
            <w:r>
              <w:t>certain</w:t>
            </w:r>
            <w:r>
              <w:t xml:space="preserve"> information</w:t>
            </w:r>
            <w:r>
              <w:t xml:space="preserve"> </w:t>
            </w:r>
            <w:r>
              <w:t>collected from</w:t>
            </w:r>
            <w:r w:rsidRPr="00E86DBE">
              <w:t xml:space="preserve"> authorit</w:t>
            </w:r>
            <w:r>
              <w:t>ies</w:t>
            </w:r>
            <w:r w:rsidRPr="00E86DBE">
              <w:t xml:space="preserve"> responsible for giving notice of an e</w:t>
            </w:r>
            <w:r w:rsidRPr="00E86DBE">
              <w:t>lection</w:t>
            </w:r>
            <w:r>
              <w:t>.</w:t>
            </w:r>
          </w:p>
          <w:p w:rsidR="008423E4" w:rsidRPr="00E26B13" w:rsidRDefault="00AD0D22" w:rsidP="001B0CA9">
            <w:pPr>
              <w:rPr>
                <w:b/>
              </w:rPr>
            </w:pPr>
          </w:p>
        </w:tc>
      </w:tr>
      <w:tr w:rsidR="00333355" w:rsidTr="00345119">
        <w:tc>
          <w:tcPr>
            <w:tcW w:w="9576" w:type="dxa"/>
          </w:tcPr>
          <w:p w:rsidR="0017725B" w:rsidRDefault="00AD0D22" w:rsidP="001B0C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0D22" w:rsidP="001B0CA9">
            <w:pPr>
              <w:rPr>
                <w:b/>
                <w:u w:val="single"/>
              </w:rPr>
            </w:pPr>
          </w:p>
          <w:p w:rsidR="00545E11" w:rsidRPr="00545E11" w:rsidRDefault="00AD0D22" w:rsidP="001B0CA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AD0D22" w:rsidP="001B0CA9">
            <w:pPr>
              <w:rPr>
                <w:b/>
                <w:u w:val="single"/>
              </w:rPr>
            </w:pPr>
          </w:p>
        </w:tc>
      </w:tr>
      <w:tr w:rsidR="00333355" w:rsidTr="00345119">
        <w:tc>
          <w:tcPr>
            <w:tcW w:w="9576" w:type="dxa"/>
          </w:tcPr>
          <w:p w:rsidR="008423E4" w:rsidRPr="00A8133F" w:rsidRDefault="00AD0D22" w:rsidP="001B0C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0D22" w:rsidP="001B0CA9"/>
          <w:p w:rsidR="00545E11" w:rsidRDefault="00AD0D22" w:rsidP="001B0C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secretary of state in SECTION 2 of this bill.</w:t>
            </w:r>
          </w:p>
          <w:p w:rsidR="008423E4" w:rsidRPr="00E21FDC" w:rsidRDefault="00AD0D22" w:rsidP="001B0CA9">
            <w:pPr>
              <w:rPr>
                <w:b/>
              </w:rPr>
            </w:pPr>
          </w:p>
        </w:tc>
      </w:tr>
      <w:tr w:rsidR="00333355" w:rsidTr="00345119">
        <w:tc>
          <w:tcPr>
            <w:tcW w:w="9576" w:type="dxa"/>
          </w:tcPr>
          <w:p w:rsidR="008423E4" w:rsidRPr="00A8133F" w:rsidRDefault="00AD0D22" w:rsidP="001B0C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0D22" w:rsidP="001B0CA9"/>
          <w:p w:rsidR="00754473" w:rsidRDefault="00AD0D22" w:rsidP="001B0CA9">
            <w:pPr>
              <w:pStyle w:val="Header"/>
              <w:jc w:val="both"/>
            </w:pPr>
            <w:r>
              <w:t xml:space="preserve">H.B. 2552 amends the Election Code to require the secretary of state to post on the secretary's public website a database containing the following information provided by each authority responsible for giving notice of an election in Texas: </w:t>
            </w:r>
          </w:p>
          <w:p w:rsidR="00520872" w:rsidRDefault="00AD0D22" w:rsidP="001B0CA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name of </w:t>
            </w:r>
            <w:r>
              <w:t>the authority;</w:t>
            </w:r>
          </w:p>
          <w:p w:rsidR="00520872" w:rsidRDefault="00AD0D22" w:rsidP="001B0CA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ea</w:t>
            </w:r>
            <w:r>
              <w:t>ch offi</w:t>
            </w:r>
            <w:r>
              <w:t>ce to be filled at the election;</w:t>
            </w:r>
          </w:p>
          <w:p w:rsidR="00520872" w:rsidRDefault="00AD0D22" w:rsidP="001B0CA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w</w:t>
            </w:r>
            <w:r>
              <w:t>hether the office is elect</w:t>
            </w:r>
            <w:r>
              <w:t>ed at large or by district;</w:t>
            </w:r>
            <w:r>
              <w:t xml:space="preserve"> and</w:t>
            </w:r>
            <w:r>
              <w:t xml:space="preserve"> </w:t>
            </w:r>
          </w:p>
          <w:p w:rsidR="00520872" w:rsidRDefault="00AD0D22" w:rsidP="001B0CA9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</w:t>
            </w:r>
            <w:r>
              <w:t xml:space="preserve"> dates of the preceding and next election for the office. </w:t>
            </w:r>
          </w:p>
          <w:p w:rsidR="008423E4" w:rsidRDefault="00AD0D22" w:rsidP="001B0CA9">
            <w:pPr>
              <w:pStyle w:val="Header"/>
              <w:spacing w:before="120" w:after="120"/>
              <w:jc w:val="both"/>
            </w:pPr>
            <w:r>
              <w:t>The bill authorizes the secretary of state to solicit and accept gifts, grant</w:t>
            </w:r>
            <w:r>
              <w:t xml:space="preserve">s, and donations from any public or private source for the creation </w:t>
            </w:r>
            <w:r>
              <w:t>and maintenance of the database</w:t>
            </w:r>
            <w:r>
              <w:t xml:space="preserve"> and</w:t>
            </w:r>
            <w:r>
              <w:t xml:space="preserve"> requires the secretary of state to </w:t>
            </w:r>
            <w:r>
              <w:t>adopt rules as nec</w:t>
            </w:r>
            <w:r>
              <w:t>essary to implement the bill's provisions</w:t>
            </w:r>
            <w:r>
              <w:t>.</w:t>
            </w:r>
            <w:r>
              <w:t xml:space="preserve"> The bill </w:t>
            </w:r>
            <w:r>
              <w:t>requires the authority responsible for giving n</w:t>
            </w:r>
            <w:r>
              <w:t xml:space="preserve">otice of an election </w:t>
            </w:r>
            <w:r w:rsidRPr="00FC0270">
              <w:t xml:space="preserve">to deliver to the secretary of state </w:t>
            </w:r>
            <w:r>
              <w:t xml:space="preserve">information for </w:t>
            </w:r>
            <w:r>
              <w:t>the</w:t>
            </w:r>
            <w:r>
              <w:t xml:space="preserve"> database </w:t>
            </w:r>
            <w:r>
              <w:t xml:space="preserve">of election information </w:t>
            </w:r>
            <w:r>
              <w:t xml:space="preserve">in an electronic format required by the secretary of state. </w:t>
            </w:r>
          </w:p>
          <w:p w:rsidR="008423E4" w:rsidRPr="00835628" w:rsidRDefault="00AD0D22" w:rsidP="001B0CA9">
            <w:pPr>
              <w:rPr>
                <w:b/>
              </w:rPr>
            </w:pPr>
          </w:p>
        </w:tc>
      </w:tr>
      <w:tr w:rsidR="00333355" w:rsidTr="00345119">
        <w:tc>
          <w:tcPr>
            <w:tcW w:w="9576" w:type="dxa"/>
          </w:tcPr>
          <w:p w:rsidR="008423E4" w:rsidRPr="00A8133F" w:rsidRDefault="00AD0D22" w:rsidP="001B0C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0D22" w:rsidP="001B0CA9"/>
          <w:p w:rsidR="008423E4" w:rsidRPr="003624F2" w:rsidRDefault="00AD0D22" w:rsidP="001B0C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D0D22" w:rsidP="001B0CA9">
            <w:pPr>
              <w:rPr>
                <w:b/>
              </w:rPr>
            </w:pPr>
          </w:p>
        </w:tc>
      </w:tr>
    </w:tbl>
    <w:p w:rsidR="008423E4" w:rsidRPr="001B0CA9" w:rsidRDefault="00AD0D22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AD0D2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0D22">
      <w:r>
        <w:separator/>
      </w:r>
    </w:p>
  </w:endnote>
  <w:endnote w:type="continuationSeparator" w:id="0">
    <w:p w:rsidR="00000000" w:rsidRDefault="00AD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3355" w:rsidTr="009C1E9A">
      <w:trPr>
        <w:cantSplit/>
      </w:trPr>
      <w:tc>
        <w:tcPr>
          <w:tcW w:w="0" w:type="pct"/>
        </w:tcPr>
        <w:p w:rsidR="00137D90" w:rsidRDefault="00AD0D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0D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0D2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0D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0D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3355" w:rsidTr="009C1E9A">
      <w:trPr>
        <w:cantSplit/>
      </w:trPr>
      <w:tc>
        <w:tcPr>
          <w:tcW w:w="0" w:type="pct"/>
        </w:tcPr>
        <w:p w:rsidR="00EC379B" w:rsidRDefault="00AD0D2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0D2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29465</w:t>
          </w:r>
        </w:p>
      </w:tc>
      <w:tc>
        <w:tcPr>
          <w:tcW w:w="2453" w:type="pct"/>
        </w:tcPr>
        <w:p w:rsidR="00EC379B" w:rsidRDefault="00AD0D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19.114.533</w:t>
          </w:r>
          <w:r>
            <w:fldChar w:fldCharType="end"/>
          </w:r>
        </w:p>
      </w:tc>
    </w:tr>
    <w:tr w:rsidR="00333355" w:rsidTr="009C1E9A">
      <w:trPr>
        <w:cantSplit/>
      </w:trPr>
      <w:tc>
        <w:tcPr>
          <w:tcW w:w="0" w:type="pct"/>
        </w:tcPr>
        <w:p w:rsidR="00EC379B" w:rsidRDefault="00AD0D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0D2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D0D22" w:rsidP="006D504F">
          <w:pPr>
            <w:pStyle w:val="Footer"/>
            <w:rPr>
              <w:rStyle w:val="PageNumber"/>
            </w:rPr>
          </w:pPr>
        </w:p>
        <w:p w:rsidR="00EC379B" w:rsidRDefault="00AD0D2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33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0D2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0D2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0D2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0D22">
      <w:r>
        <w:separator/>
      </w:r>
    </w:p>
  </w:footnote>
  <w:footnote w:type="continuationSeparator" w:id="0">
    <w:p w:rsidR="00000000" w:rsidRDefault="00AD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D0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772"/>
    <w:multiLevelType w:val="hybridMultilevel"/>
    <w:tmpl w:val="7DB8A3CA"/>
    <w:lvl w:ilvl="0" w:tplc="1996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00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A2B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C10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C4F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C8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3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C5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A9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49D"/>
    <w:multiLevelType w:val="hybridMultilevel"/>
    <w:tmpl w:val="0A2C8BE2"/>
    <w:lvl w:ilvl="0" w:tplc="D9486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645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C5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406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8E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8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28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CD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78C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55"/>
    <w:rsid w:val="00333355"/>
    <w:rsid w:val="00A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A8AE24-9A4B-4B4D-9A36-A104A7A8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45E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E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1838</Characters>
  <Application>Microsoft Office Word</Application>
  <DocSecurity>4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HB02552 (Committee Report (Unamended))</vt:lpstr>
    </vt:vector>
  </TitlesOfParts>
  <Company>State of Texas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29465</dc:subject>
  <dc:creator>State of Texas</dc:creator>
  <dc:description>HB 2552 by Bucy-(H)Elections</dc:description>
  <cp:lastModifiedBy>Laura Ramsay</cp:lastModifiedBy>
  <cp:revision>2</cp:revision>
  <cp:lastPrinted>2003-11-26T17:21:00Z</cp:lastPrinted>
  <dcterms:created xsi:type="dcterms:W3CDTF">2019-05-08T16:36:00Z</dcterms:created>
  <dcterms:modified xsi:type="dcterms:W3CDTF">2019-05-08T16:36:00Z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19.114.533</vt:lpwstr>
  </property>
</Properties>
</file>