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04151" w:rsidTr="00345119">
        <w:tc>
          <w:tcPr>
            <w:tcW w:w="9576" w:type="dxa"/>
            <w:noWrap/>
          </w:tcPr>
          <w:p w:rsidR="008423E4" w:rsidRPr="0022177D" w:rsidRDefault="003A671C" w:rsidP="00345119">
            <w:pPr>
              <w:pStyle w:val="Heading1"/>
            </w:pPr>
            <w:bookmarkStart w:id="0" w:name="_GoBack"/>
            <w:bookmarkEnd w:id="0"/>
            <w:r w:rsidRPr="00631897">
              <w:t>BILL ANALYSIS</w:t>
            </w:r>
          </w:p>
        </w:tc>
      </w:tr>
    </w:tbl>
    <w:p w:rsidR="008423E4" w:rsidRPr="0022177D" w:rsidRDefault="003A671C" w:rsidP="008423E4">
      <w:pPr>
        <w:jc w:val="center"/>
      </w:pPr>
    </w:p>
    <w:p w:rsidR="008423E4" w:rsidRPr="00B31F0E" w:rsidRDefault="003A671C" w:rsidP="008423E4"/>
    <w:p w:rsidR="008423E4" w:rsidRPr="00742794" w:rsidRDefault="003A671C" w:rsidP="008423E4">
      <w:pPr>
        <w:tabs>
          <w:tab w:val="right" w:pos="9360"/>
        </w:tabs>
      </w:pPr>
    </w:p>
    <w:tbl>
      <w:tblPr>
        <w:tblW w:w="0" w:type="auto"/>
        <w:tblLayout w:type="fixed"/>
        <w:tblLook w:val="01E0" w:firstRow="1" w:lastRow="1" w:firstColumn="1" w:lastColumn="1" w:noHBand="0" w:noVBand="0"/>
      </w:tblPr>
      <w:tblGrid>
        <w:gridCol w:w="9576"/>
      </w:tblGrid>
      <w:tr w:rsidR="00C04151" w:rsidTr="00345119">
        <w:tc>
          <w:tcPr>
            <w:tcW w:w="9576" w:type="dxa"/>
          </w:tcPr>
          <w:p w:rsidR="008423E4" w:rsidRPr="00861995" w:rsidRDefault="003A671C" w:rsidP="00345119">
            <w:pPr>
              <w:jc w:val="right"/>
            </w:pPr>
            <w:r>
              <w:t>C.S.H.B. 2555</w:t>
            </w:r>
          </w:p>
        </w:tc>
      </w:tr>
      <w:tr w:rsidR="00C04151" w:rsidTr="00345119">
        <w:tc>
          <w:tcPr>
            <w:tcW w:w="9576" w:type="dxa"/>
          </w:tcPr>
          <w:p w:rsidR="008423E4" w:rsidRPr="00861995" w:rsidRDefault="003A671C" w:rsidP="00765AC4">
            <w:pPr>
              <w:jc w:val="right"/>
            </w:pPr>
            <w:r>
              <w:t xml:space="preserve">By: </w:t>
            </w:r>
            <w:r>
              <w:t>Parker</w:t>
            </w:r>
          </w:p>
        </w:tc>
      </w:tr>
      <w:tr w:rsidR="00C04151" w:rsidTr="00345119">
        <w:tc>
          <w:tcPr>
            <w:tcW w:w="9576" w:type="dxa"/>
          </w:tcPr>
          <w:p w:rsidR="008423E4" w:rsidRPr="00861995" w:rsidRDefault="003A671C" w:rsidP="00345119">
            <w:pPr>
              <w:jc w:val="right"/>
            </w:pPr>
            <w:r>
              <w:t>Public Education</w:t>
            </w:r>
          </w:p>
        </w:tc>
      </w:tr>
      <w:tr w:rsidR="00C04151" w:rsidTr="00345119">
        <w:tc>
          <w:tcPr>
            <w:tcW w:w="9576" w:type="dxa"/>
          </w:tcPr>
          <w:p w:rsidR="008423E4" w:rsidRDefault="003A671C" w:rsidP="00345119">
            <w:pPr>
              <w:jc w:val="right"/>
            </w:pPr>
            <w:r>
              <w:t>Committee Report (Substituted)</w:t>
            </w:r>
          </w:p>
        </w:tc>
      </w:tr>
    </w:tbl>
    <w:p w:rsidR="008423E4" w:rsidRDefault="003A671C" w:rsidP="008423E4">
      <w:pPr>
        <w:tabs>
          <w:tab w:val="right" w:pos="9360"/>
        </w:tabs>
      </w:pPr>
    </w:p>
    <w:p w:rsidR="008423E4" w:rsidRDefault="003A671C" w:rsidP="008423E4"/>
    <w:p w:rsidR="008423E4" w:rsidRDefault="003A671C" w:rsidP="008423E4"/>
    <w:tbl>
      <w:tblPr>
        <w:tblW w:w="0" w:type="auto"/>
        <w:tblCellMar>
          <w:left w:w="115" w:type="dxa"/>
          <w:right w:w="115" w:type="dxa"/>
        </w:tblCellMar>
        <w:tblLook w:val="01E0" w:firstRow="1" w:lastRow="1" w:firstColumn="1" w:lastColumn="1" w:noHBand="0" w:noVBand="0"/>
      </w:tblPr>
      <w:tblGrid>
        <w:gridCol w:w="9576"/>
      </w:tblGrid>
      <w:tr w:rsidR="00C04151" w:rsidTr="00345119">
        <w:tc>
          <w:tcPr>
            <w:tcW w:w="9576" w:type="dxa"/>
          </w:tcPr>
          <w:p w:rsidR="008423E4" w:rsidRPr="00A8133F" w:rsidRDefault="003A671C" w:rsidP="008D0B17">
            <w:pPr>
              <w:rPr>
                <w:b/>
              </w:rPr>
            </w:pPr>
            <w:r w:rsidRPr="009C1E9A">
              <w:rPr>
                <w:b/>
                <w:u w:val="single"/>
              </w:rPr>
              <w:t>BACKGROUND AND PURPOSE</w:t>
            </w:r>
            <w:r>
              <w:rPr>
                <w:b/>
              </w:rPr>
              <w:t xml:space="preserve"> </w:t>
            </w:r>
          </w:p>
          <w:p w:rsidR="008423E4" w:rsidRDefault="003A671C" w:rsidP="008D0B17"/>
          <w:p w:rsidR="008423E4" w:rsidRDefault="003A671C" w:rsidP="008D0B17">
            <w:pPr>
              <w:pStyle w:val="Header"/>
              <w:jc w:val="both"/>
            </w:pPr>
            <w:r>
              <w:t>Anaphylaxis is an acute allergic reaction that develops rapidly and can occur very quickly after exposure to an allergen. As anaphylaxis can be life-threatening, immediate treatment with epinephrine is critical to an afflicted individual's safety during an</w:t>
            </w:r>
            <w:r>
              <w:t xml:space="preserve"> anaphylactic reaction. Reports indicate that approximately 5.6 million American children under the age of 18 have food allergies and that more than half of all fatal food allergy reactions are triggered by food consumed outside the home. </w:t>
            </w:r>
            <w:r>
              <w:t>Given the</w:t>
            </w:r>
            <w:r>
              <w:t xml:space="preserve"> </w:t>
            </w:r>
            <w:r>
              <w:t>threat</w:t>
            </w:r>
            <w:r>
              <w:t xml:space="preserve"> </w:t>
            </w:r>
            <w:r>
              <w:t>of a life-threatening reaction for</w:t>
            </w:r>
            <w:r>
              <w:t xml:space="preserve"> public school stude</w:t>
            </w:r>
            <w:r>
              <w:t>nts with serious food allergies, t</w:t>
            </w:r>
            <w:r>
              <w:t xml:space="preserve">here </w:t>
            </w:r>
            <w:r>
              <w:t xml:space="preserve">have been </w:t>
            </w:r>
            <w:r>
              <w:t>calls to update the health guidelines used by public schools to</w:t>
            </w:r>
            <w:r>
              <w:t xml:space="preserve"> further</w:t>
            </w:r>
            <w:r>
              <w:t xml:space="preserve"> ensure the safety of students with food allergies at risk for anaphylaxis. </w:t>
            </w:r>
            <w:r>
              <w:t>C.S.</w:t>
            </w:r>
            <w:r>
              <w:t>H.</w:t>
            </w:r>
            <w:r>
              <w:t>B. 2555 seeks to</w:t>
            </w:r>
            <w:r>
              <w:t xml:space="preserve"> do so</w:t>
            </w:r>
            <w:r>
              <w:t xml:space="preserve"> by establishing a committee </w:t>
            </w:r>
            <w:r>
              <w:t xml:space="preserve">to assist the commissioner of state health services in regularly </w:t>
            </w:r>
            <w:r>
              <w:t>updat</w:t>
            </w:r>
            <w:r>
              <w:t>ing</w:t>
            </w:r>
            <w:r>
              <w:t xml:space="preserve"> the Guidelines for the Care of Students with Food Allergies At</w:t>
            </w:r>
            <w:r>
              <w:t>-</w:t>
            </w:r>
            <w:r>
              <w:t xml:space="preserve">Risk for Anaphylaxis. </w:t>
            </w:r>
          </w:p>
          <w:p w:rsidR="008423E4" w:rsidRPr="00E26B13" w:rsidRDefault="003A671C" w:rsidP="008D0B17">
            <w:pPr>
              <w:rPr>
                <w:b/>
              </w:rPr>
            </w:pPr>
          </w:p>
        </w:tc>
      </w:tr>
      <w:tr w:rsidR="00C04151" w:rsidTr="00345119">
        <w:tc>
          <w:tcPr>
            <w:tcW w:w="9576" w:type="dxa"/>
          </w:tcPr>
          <w:p w:rsidR="0017725B" w:rsidRDefault="003A671C" w:rsidP="008D0B17">
            <w:pPr>
              <w:rPr>
                <w:b/>
                <w:u w:val="single"/>
              </w:rPr>
            </w:pPr>
            <w:r>
              <w:rPr>
                <w:b/>
                <w:u w:val="single"/>
              </w:rPr>
              <w:t>CRIMINAL JUSTICE IMPACT</w:t>
            </w:r>
          </w:p>
          <w:p w:rsidR="0017725B" w:rsidRDefault="003A671C" w:rsidP="008D0B17">
            <w:pPr>
              <w:rPr>
                <w:b/>
                <w:u w:val="single"/>
              </w:rPr>
            </w:pPr>
          </w:p>
          <w:p w:rsidR="00E67481" w:rsidRPr="00E67481" w:rsidRDefault="003A671C" w:rsidP="008D0B17">
            <w:pPr>
              <w:jc w:val="both"/>
            </w:pPr>
            <w:r>
              <w:t>It is the committe</w:t>
            </w:r>
            <w:r>
              <w:t>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A671C" w:rsidP="008D0B17">
            <w:pPr>
              <w:rPr>
                <w:b/>
                <w:u w:val="single"/>
              </w:rPr>
            </w:pPr>
          </w:p>
        </w:tc>
      </w:tr>
      <w:tr w:rsidR="00C04151" w:rsidTr="00345119">
        <w:tc>
          <w:tcPr>
            <w:tcW w:w="9576" w:type="dxa"/>
          </w:tcPr>
          <w:p w:rsidR="008423E4" w:rsidRPr="00A8133F" w:rsidRDefault="003A671C" w:rsidP="008D0B17">
            <w:pPr>
              <w:rPr>
                <w:b/>
              </w:rPr>
            </w:pPr>
            <w:r w:rsidRPr="009C1E9A">
              <w:rPr>
                <w:b/>
                <w:u w:val="single"/>
              </w:rPr>
              <w:t>RULEMAKING AUTHORITY</w:t>
            </w:r>
            <w:r>
              <w:rPr>
                <w:b/>
              </w:rPr>
              <w:t xml:space="preserve"> </w:t>
            </w:r>
          </w:p>
          <w:p w:rsidR="008423E4" w:rsidRDefault="003A671C" w:rsidP="008D0B17"/>
          <w:p w:rsidR="00E67481" w:rsidRDefault="003A671C" w:rsidP="008D0B1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A671C" w:rsidP="008D0B17">
            <w:pPr>
              <w:rPr>
                <w:b/>
              </w:rPr>
            </w:pPr>
          </w:p>
        </w:tc>
      </w:tr>
      <w:tr w:rsidR="00C04151" w:rsidTr="00345119">
        <w:tc>
          <w:tcPr>
            <w:tcW w:w="9576" w:type="dxa"/>
          </w:tcPr>
          <w:p w:rsidR="008423E4" w:rsidRPr="00A8133F" w:rsidRDefault="003A671C" w:rsidP="008D0B17">
            <w:pPr>
              <w:rPr>
                <w:b/>
              </w:rPr>
            </w:pPr>
            <w:r w:rsidRPr="009C1E9A">
              <w:rPr>
                <w:b/>
                <w:u w:val="single"/>
              </w:rPr>
              <w:t>ANALYSIS</w:t>
            </w:r>
            <w:r>
              <w:rPr>
                <w:b/>
              </w:rPr>
              <w:t xml:space="preserve"> </w:t>
            </w:r>
          </w:p>
          <w:p w:rsidR="008423E4" w:rsidRDefault="003A671C" w:rsidP="008D0B17"/>
          <w:p w:rsidR="00020E48" w:rsidRDefault="003A671C" w:rsidP="008D0B17">
            <w:pPr>
              <w:pStyle w:val="Header"/>
              <w:tabs>
                <w:tab w:val="clear" w:pos="4320"/>
                <w:tab w:val="clear" w:pos="8640"/>
              </w:tabs>
              <w:jc w:val="both"/>
            </w:pPr>
            <w:r>
              <w:t>C.S.</w:t>
            </w:r>
            <w:r w:rsidRPr="00AD765F">
              <w:t xml:space="preserve">H.B. 2555 amends the Education Code to require the </w:t>
            </w:r>
            <w:r w:rsidRPr="00AD765F">
              <w:t xml:space="preserve">commissioner of state health services to appoint members to an ad hoc committee to consult with the commissioner on updating the current guidelines </w:t>
            </w:r>
            <w:r>
              <w:t>for the care of students with food allergies at</w:t>
            </w:r>
            <w:r>
              <w:t xml:space="preserve"> </w:t>
            </w:r>
            <w:r>
              <w:t xml:space="preserve">risk for anaphylaxis </w:t>
            </w:r>
            <w:r>
              <w:t>for purposes of</w:t>
            </w:r>
            <w:r w:rsidRPr="00AD765F">
              <w:t xml:space="preserve"> incorporat</w:t>
            </w:r>
            <w:r>
              <w:t>ing</w:t>
            </w:r>
            <w:r w:rsidRPr="00AD765F">
              <w:t xml:space="preserve"> and speci</w:t>
            </w:r>
            <w:r w:rsidRPr="00AD765F">
              <w:t>fically referenc</w:t>
            </w:r>
            <w:r>
              <w:t>ing</w:t>
            </w:r>
            <w:r w:rsidRPr="00AD765F">
              <w:t xml:space="preserve"> any new food-allergy management best practices and treatments, including new methods, treatments, and therapies to reduce the risk of allerg</w:t>
            </w:r>
            <w:r>
              <w:t xml:space="preserve">ic reactions. </w:t>
            </w:r>
          </w:p>
          <w:p w:rsidR="00020E48" w:rsidRDefault="003A671C" w:rsidP="008D0B17">
            <w:pPr>
              <w:pStyle w:val="Header"/>
              <w:tabs>
                <w:tab w:val="clear" w:pos="4320"/>
                <w:tab w:val="clear" w:pos="8640"/>
              </w:tabs>
              <w:jc w:val="both"/>
            </w:pPr>
          </w:p>
          <w:p w:rsidR="00020E48" w:rsidRDefault="003A671C" w:rsidP="008D0B17">
            <w:pPr>
              <w:pStyle w:val="Header"/>
              <w:tabs>
                <w:tab w:val="clear" w:pos="4320"/>
                <w:tab w:val="clear" w:pos="8640"/>
              </w:tabs>
              <w:jc w:val="both"/>
            </w:pPr>
            <w:r>
              <w:t>C.S.</w:t>
            </w:r>
            <w:r w:rsidRPr="00AD765F">
              <w:t>H.B. 2555</w:t>
            </w:r>
            <w:r>
              <w:t xml:space="preserve"> </w:t>
            </w:r>
            <w:r w:rsidRPr="00AD765F">
              <w:t>sets out the composition of the ad hoc committee</w:t>
            </w:r>
            <w:r>
              <w:t>, requires the com</w:t>
            </w:r>
            <w:r>
              <w:t>missioner to appoint the committee members not later than October 1, 2019,</w:t>
            </w:r>
            <w:r w:rsidRPr="00AD765F">
              <w:t xml:space="preserve"> and </w:t>
            </w:r>
            <w:r>
              <w:t xml:space="preserve">requires </w:t>
            </w:r>
            <w:r w:rsidRPr="00AD765F">
              <w:t>that committee members serve for a period determined by the commissioner. The bill requires the commissioner, on the resignation of a member of the committee or the rem</w:t>
            </w:r>
            <w:r w:rsidRPr="00AD765F">
              <w:t xml:space="preserve">oval of a member from the committee by the commissioner, to appoint a new member to the committee who qualifies for the committee in the same manner that the member who resigned or is removed qualified. </w:t>
            </w:r>
          </w:p>
          <w:p w:rsidR="00020E48" w:rsidRPr="008D0B17" w:rsidRDefault="003A671C" w:rsidP="008D0B17">
            <w:pPr>
              <w:pStyle w:val="Header"/>
              <w:tabs>
                <w:tab w:val="clear" w:pos="4320"/>
                <w:tab w:val="clear" w:pos="8640"/>
              </w:tabs>
              <w:jc w:val="both"/>
              <w:rPr>
                <w:sz w:val="22"/>
              </w:rPr>
            </w:pPr>
          </w:p>
          <w:p w:rsidR="00CD130F" w:rsidRDefault="003A671C" w:rsidP="008D0B17">
            <w:pPr>
              <w:pStyle w:val="Header"/>
              <w:tabs>
                <w:tab w:val="clear" w:pos="4320"/>
                <w:tab w:val="clear" w:pos="8640"/>
              </w:tabs>
              <w:jc w:val="both"/>
            </w:pPr>
            <w:r>
              <w:t>C.S.</w:t>
            </w:r>
            <w:r w:rsidRPr="00AD765F">
              <w:t>H.B. 2555</w:t>
            </w:r>
            <w:r>
              <w:t xml:space="preserve"> </w:t>
            </w:r>
            <w:r w:rsidRPr="00AD765F">
              <w:t xml:space="preserve">exempts the ad hoc committee from </w:t>
            </w:r>
            <w:r>
              <w:t>cer</w:t>
            </w:r>
            <w:r>
              <w:t xml:space="preserve">tain </w:t>
            </w:r>
            <w:r>
              <w:t xml:space="preserve">statutory </w:t>
            </w:r>
            <w:r w:rsidRPr="00AD765F">
              <w:t>provision</w:t>
            </w:r>
            <w:r>
              <w:t>s governing state agency advisory committees</w:t>
            </w:r>
            <w:r w:rsidRPr="00AD765F">
              <w:t>.</w:t>
            </w:r>
            <w:r>
              <w:t xml:space="preserve"> The bill requires the physicians appointed to serve on the ad hoc committee to provide to the committee appropriate recommendat</w:t>
            </w:r>
            <w:r>
              <w:t xml:space="preserve">ions to be made to </w:t>
            </w:r>
            <w:r>
              <w:t>the commissioner on updating the current</w:t>
            </w:r>
            <w:r>
              <w:t xml:space="preserve"> guidelines.</w:t>
            </w:r>
            <w:r w:rsidRPr="00AD765F">
              <w:t xml:space="preserve"> </w:t>
            </w:r>
          </w:p>
          <w:p w:rsidR="00CD130F" w:rsidRDefault="003A671C" w:rsidP="008D0B17">
            <w:pPr>
              <w:pStyle w:val="Header"/>
              <w:tabs>
                <w:tab w:val="clear" w:pos="4320"/>
                <w:tab w:val="clear" w:pos="8640"/>
              </w:tabs>
              <w:jc w:val="both"/>
            </w:pPr>
          </w:p>
          <w:p w:rsidR="006B1595" w:rsidRDefault="003A671C" w:rsidP="008D0B17">
            <w:pPr>
              <w:pStyle w:val="Header"/>
              <w:tabs>
                <w:tab w:val="clear" w:pos="4320"/>
                <w:tab w:val="clear" w:pos="8640"/>
              </w:tabs>
              <w:jc w:val="both"/>
            </w:pPr>
            <w:r>
              <w:t>C.S.</w:t>
            </w:r>
            <w:r>
              <w:t>H.B. 2555</w:t>
            </w:r>
            <w:r w:rsidRPr="00AD765F">
              <w:t xml:space="preserve"> requires the </w:t>
            </w:r>
            <w:r>
              <w:t xml:space="preserve">commissioner </w:t>
            </w:r>
            <w:r w:rsidRPr="00AD765F">
              <w:t xml:space="preserve">to order a </w:t>
            </w:r>
            <w:r>
              <w:t xml:space="preserve">committee </w:t>
            </w:r>
            <w:r w:rsidRPr="00AD765F">
              <w:t xml:space="preserve">meeting to update the guidelines </w:t>
            </w:r>
            <w:r>
              <w:t>for purposes of</w:t>
            </w:r>
            <w:r w:rsidRPr="00AD765F">
              <w:t xml:space="preserve"> incorporat</w:t>
            </w:r>
            <w:r>
              <w:t>ing</w:t>
            </w:r>
            <w:r w:rsidRPr="00AD765F">
              <w:t xml:space="preserve"> any new food</w:t>
            </w:r>
            <w:r>
              <w:noBreakHyphen/>
            </w:r>
            <w:r w:rsidRPr="00AD765F">
              <w:t>allergy management best practices and treatments at least on</w:t>
            </w:r>
            <w:r>
              <w:t>c</w:t>
            </w:r>
            <w:r w:rsidRPr="00AD765F">
              <w:t xml:space="preserve">e every three years </w:t>
            </w:r>
            <w:r>
              <w:t xml:space="preserve">and </w:t>
            </w:r>
            <w:r w:rsidRPr="00AD765F">
              <w:t xml:space="preserve">authorizes the </w:t>
            </w:r>
            <w:r w:rsidRPr="00AD765F">
              <w:t>commissioner to order a</w:t>
            </w:r>
            <w:r>
              <w:t xml:space="preserve"> committee</w:t>
            </w:r>
            <w:r w:rsidRPr="00AD765F">
              <w:t xml:space="preserve"> meeting at any time the commissioner determines necessary for the committee to discuss the protection of students with food allergies at risk for anaphylaxis and </w:t>
            </w:r>
            <w:r>
              <w:t xml:space="preserve">to </w:t>
            </w:r>
            <w:r w:rsidRPr="00AD765F">
              <w:t>update the guidelines.</w:t>
            </w:r>
            <w:r>
              <w:t xml:space="preserve"> The bill requires the commissioner</w:t>
            </w:r>
            <w:r>
              <w:t>, in consultation with the ad hoc committee, to update the guidelines as necessary not later than March 1, 2020.</w:t>
            </w:r>
          </w:p>
          <w:p w:rsidR="006B1595" w:rsidRDefault="003A671C" w:rsidP="008D0B17">
            <w:pPr>
              <w:pStyle w:val="Header"/>
              <w:tabs>
                <w:tab w:val="clear" w:pos="4320"/>
                <w:tab w:val="clear" w:pos="8640"/>
              </w:tabs>
              <w:jc w:val="both"/>
            </w:pPr>
          </w:p>
          <w:p w:rsidR="00BA76E9" w:rsidRDefault="003A671C" w:rsidP="008D0B17">
            <w:pPr>
              <w:pStyle w:val="Header"/>
              <w:tabs>
                <w:tab w:val="clear" w:pos="4320"/>
                <w:tab w:val="clear" w:pos="8640"/>
              </w:tabs>
              <w:jc w:val="both"/>
            </w:pPr>
            <w:r>
              <w:t>C.S.</w:t>
            </w:r>
            <w:r>
              <w:t>H.B. 2555</w:t>
            </w:r>
            <w:r>
              <w:t xml:space="preserve"> revises the requirement for each public school district and open</w:t>
            </w:r>
            <w:r>
              <w:noBreakHyphen/>
              <w:t>enrollment charter school that implement</w:t>
            </w:r>
            <w:r>
              <w:t>s</w:t>
            </w:r>
            <w:r>
              <w:t xml:space="preserve"> a policy for the care</w:t>
            </w:r>
            <w:r>
              <w:t xml:space="preserve"> of students with a diagnosed food allergy at risk for anaphylaxis to review and </w:t>
            </w:r>
            <w:r>
              <w:t xml:space="preserve">revise </w:t>
            </w:r>
            <w:r>
              <w:t>the</w:t>
            </w:r>
            <w:r>
              <w:t xml:space="preserve"> policy to ensure consistency with the guidelines by requiring that the district or school annually review and</w:t>
            </w:r>
            <w:r>
              <w:t>,</w:t>
            </w:r>
            <w:r>
              <w:t xml:space="preserve"> </w:t>
            </w:r>
            <w:r>
              <w:t xml:space="preserve">as necessary, </w:t>
            </w:r>
            <w:r>
              <w:t>revise the policy to ensure consistency</w:t>
            </w:r>
            <w:r>
              <w:t xml:space="preserve"> with the most current version of the guidelines as updated by the commissioner. </w:t>
            </w:r>
          </w:p>
          <w:p w:rsidR="00BA76E9" w:rsidRDefault="003A671C" w:rsidP="008D0B17">
            <w:pPr>
              <w:pStyle w:val="Header"/>
              <w:tabs>
                <w:tab w:val="clear" w:pos="4320"/>
                <w:tab w:val="clear" w:pos="8640"/>
              </w:tabs>
              <w:jc w:val="both"/>
            </w:pPr>
          </w:p>
          <w:p w:rsidR="00020E48" w:rsidRDefault="003A671C" w:rsidP="008D0B17">
            <w:pPr>
              <w:pStyle w:val="Header"/>
              <w:tabs>
                <w:tab w:val="clear" w:pos="4320"/>
                <w:tab w:val="clear" w:pos="8640"/>
              </w:tabs>
              <w:jc w:val="both"/>
            </w:pPr>
            <w:r>
              <w:t>C.S.</w:t>
            </w:r>
            <w:r>
              <w:t>H.B. 2555</w:t>
            </w:r>
            <w:r>
              <w:t xml:space="preserve"> requir</w:t>
            </w:r>
            <w:r>
              <w:t xml:space="preserve">es the guidelines posted on the Texas Education Agency (TEA) </w:t>
            </w:r>
            <w:r>
              <w:t>website with any other information relating to students with special health needs to include</w:t>
            </w:r>
            <w:r>
              <w:t xml:space="preserve"> a summary of the guidelines and requires</w:t>
            </w:r>
            <w:r>
              <w:t xml:space="preserve"> TEA </w:t>
            </w:r>
            <w:r>
              <w:t xml:space="preserve">annually </w:t>
            </w:r>
            <w:r>
              <w:t xml:space="preserve">to review and, as necessary, revise </w:t>
            </w:r>
            <w:r>
              <w:t>the</w:t>
            </w:r>
            <w:r>
              <w:t xml:space="preserve"> summary and any other information to reflect the most current version of the guidelines.</w:t>
            </w:r>
            <w:r>
              <w:t xml:space="preserve"> </w:t>
            </w:r>
            <w:r>
              <w:t>The bill requires the board of trustees of each district and the governi</w:t>
            </w:r>
            <w:r>
              <w:t xml:space="preserve">ng body of each charter school </w:t>
            </w:r>
            <w:r>
              <w:t xml:space="preserve">to </w:t>
            </w:r>
            <w:r>
              <w:t xml:space="preserve">post </w:t>
            </w:r>
            <w:r>
              <w:t>each school year</w:t>
            </w:r>
            <w:r>
              <w:t xml:space="preserve"> a </w:t>
            </w:r>
            <w:r>
              <w:t xml:space="preserve">summary </w:t>
            </w:r>
            <w:r>
              <w:t>of the guidelines on</w:t>
            </w:r>
            <w:r>
              <w:t xml:space="preserve"> the</w:t>
            </w:r>
            <w:r>
              <w:t xml:space="preserve"> district's or </w:t>
            </w:r>
            <w:r>
              <w:t xml:space="preserve">charter </w:t>
            </w:r>
            <w:r>
              <w:t>school's</w:t>
            </w:r>
            <w:r>
              <w:t xml:space="preserve"> website</w:t>
            </w:r>
            <w:r>
              <w:t xml:space="preserve">, including instructions on obtaining access to the complete guidelines document, and requires </w:t>
            </w:r>
            <w:r>
              <w:t>the applicable</w:t>
            </w:r>
            <w:r>
              <w:t xml:space="preserve"> website to be acc</w:t>
            </w:r>
            <w:r>
              <w:t>essible by</w:t>
            </w:r>
            <w:r>
              <w:t xml:space="preserve"> each student enrolled in the district or </w:t>
            </w:r>
            <w:r>
              <w:t xml:space="preserve">charter </w:t>
            </w:r>
            <w:r>
              <w:t>school and a parent or guardian of each student.</w:t>
            </w:r>
            <w:r>
              <w:t xml:space="preserve"> </w:t>
            </w:r>
          </w:p>
          <w:p w:rsidR="00020E48" w:rsidRDefault="003A671C" w:rsidP="008D0B17">
            <w:pPr>
              <w:pStyle w:val="Header"/>
              <w:tabs>
                <w:tab w:val="clear" w:pos="4320"/>
                <w:tab w:val="clear" w:pos="8640"/>
              </w:tabs>
              <w:jc w:val="both"/>
            </w:pPr>
          </w:p>
          <w:p w:rsidR="00E67481" w:rsidRDefault="003A671C" w:rsidP="008D0B17">
            <w:pPr>
              <w:pStyle w:val="Header"/>
              <w:tabs>
                <w:tab w:val="clear" w:pos="4320"/>
                <w:tab w:val="clear" w:pos="8640"/>
              </w:tabs>
              <w:jc w:val="both"/>
            </w:pPr>
            <w:r>
              <w:t>C.S.H.B. 2555</w:t>
            </w:r>
            <w:r>
              <w:t xml:space="preserve"> requires any forms used by a district or </w:t>
            </w:r>
            <w:r>
              <w:t xml:space="preserve">charter </w:t>
            </w:r>
            <w:r>
              <w:t xml:space="preserve">school requesting information from a parent or guardian enrolling a child with a food allergy in the district or </w:t>
            </w:r>
            <w:r>
              <w:t xml:space="preserve">charter </w:t>
            </w:r>
            <w:r>
              <w:t>school to include information to access on the applicable website the summary of the guidelines and instructions on obtaining access to</w:t>
            </w:r>
            <w:r>
              <w:t xml:space="preserve"> the complete guidelines document.</w:t>
            </w:r>
          </w:p>
          <w:p w:rsidR="007B1812" w:rsidRDefault="003A671C" w:rsidP="008D0B17">
            <w:pPr>
              <w:pStyle w:val="Header"/>
              <w:tabs>
                <w:tab w:val="clear" w:pos="4320"/>
                <w:tab w:val="clear" w:pos="8640"/>
              </w:tabs>
              <w:jc w:val="both"/>
            </w:pPr>
          </w:p>
          <w:p w:rsidR="007B1812" w:rsidRDefault="003A671C" w:rsidP="008D0B17">
            <w:pPr>
              <w:pStyle w:val="Header"/>
              <w:tabs>
                <w:tab w:val="clear" w:pos="4320"/>
                <w:tab w:val="clear" w:pos="8640"/>
              </w:tabs>
              <w:jc w:val="both"/>
            </w:pPr>
            <w:r>
              <w:t>C.S.H.B</w:t>
            </w:r>
            <w:r>
              <w:t xml:space="preserve">. 2555 prohibits the guidelines </w:t>
            </w:r>
            <w:r>
              <w:t>from:</w:t>
            </w:r>
          </w:p>
          <w:p w:rsidR="007B1812" w:rsidRDefault="003A671C" w:rsidP="008D0B17">
            <w:pPr>
              <w:pStyle w:val="Header"/>
              <w:numPr>
                <w:ilvl w:val="0"/>
                <w:numId w:val="2"/>
              </w:numPr>
              <w:tabs>
                <w:tab w:val="clear" w:pos="4320"/>
                <w:tab w:val="clear" w:pos="8640"/>
              </w:tabs>
              <w:spacing w:before="120" w:after="120"/>
              <w:jc w:val="both"/>
            </w:pPr>
            <w:r>
              <w:t xml:space="preserve">requiring a district or charter school </w:t>
            </w:r>
            <w:r w:rsidRPr="007B1812">
              <w:t>to purchase treatmen</w:t>
            </w:r>
            <w:r>
              <w:t xml:space="preserve">ts approved by the </w:t>
            </w:r>
            <w:r>
              <w:t>U.S. Food and Drug Administration (</w:t>
            </w:r>
            <w:r>
              <w:t>FDA</w:t>
            </w:r>
            <w:r>
              <w:t>)</w:t>
            </w:r>
            <w:r w:rsidRPr="007B1812">
              <w:t xml:space="preserve"> or make any other expenditure that would result in a negative fiscal impact on the district or </w:t>
            </w:r>
            <w:r>
              <w:t xml:space="preserve">charter </w:t>
            </w:r>
            <w:r w:rsidRPr="007B1812">
              <w:t>school</w:t>
            </w:r>
            <w:r>
              <w:t>; or</w:t>
            </w:r>
          </w:p>
          <w:p w:rsidR="007B1812" w:rsidRDefault="003A671C" w:rsidP="008D0B17">
            <w:pPr>
              <w:pStyle w:val="Header"/>
              <w:numPr>
                <w:ilvl w:val="0"/>
                <w:numId w:val="2"/>
              </w:numPr>
              <w:tabs>
                <w:tab w:val="clear" w:pos="4320"/>
                <w:tab w:val="clear" w:pos="8640"/>
              </w:tabs>
              <w:jc w:val="both"/>
            </w:pPr>
            <w:r>
              <w:t xml:space="preserve">requiring the personnel of a district or </w:t>
            </w:r>
            <w:r>
              <w:t xml:space="preserve">charter </w:t>
            </w:r>
            <w:r>
              <w:t xml:space="preserve">school to </w:t>
            </w:r>
            <w:r w:rsidRPr="007B1812">
              <w:t xml:space="preserve">administer treatments approved by the </w:t>
            </w:r>
            <w:r>
              <w:t>FDA</w:t>
            </w:r>
            <w:r w:rsidRPr="007B1812">
              <w:t xml:space="preserve"> to a student unless the medication is pr</w:t>
            </w:r>
            <w:r w:rsidRPr="007B1812">
              <w:t>escribed for that student by the student's physician.</w:t>
            </w:r>
          </w:p>
          <w:p w:rsidR="003A0BF1" w:rsidRDefault="003A671C" w:rsidP="008D0B17">
            <w:pPr>
              <w:pStyle w:val="Header"/>
              <w:tabs>
                <w:tab w:val="clear" w:pos="4320"/>
                <w:tab w:val="clear" w:pos="8640"/>
              </w:tabs>
              <w:jc w:val="both"/>
            </w:pPr>
          </w:p>
          <w:p w:rsidR="00BB073F" w:rsidRDefault="003A671C" w:rsidP="008D0B17">
            <w:pPr>
              <w:pStyle w:val="Header"/>
              <w:tabs>
                <w:tab w:val="clear" w:pos="4320"/>
                <w:tab w:val="clear" w:pos="8640"/>
              </w:tabs>
              <w:jc w:val="both"/>
            </w:pPr>
            <w:r>
              <w:t xml:space="preserve">C.S.H.B. 2555 </w:t>
            </w:r>
            <w:r>
              <w:t>establishes that</w:t>
            </w:r>
            <w:r>
              <w:t xml:space="preserve"> provisions relating to</w:t>
            </w:r>
            <w:r>
              <w:t xml:space="preserve"> policies for the care of certain students at risk for anaphylaxis do not</w:t>
            </w:r>
            <w:r>
              <w:t>:</w:t>
            </w:r>
            <w:r>
              <w:t xml:space="preserve"> </w:t>
            </w:r>
          </w:p>
          <w:p w:rsidR="00BB073F" w:rsidRDefault="003A671C" w:rsidP="008D0B17">
            <w:pPr>
              <w:pStyle w:val="Header"/>
              <w:numPr>
                <w:ilvl w:val="0"/>
                <w:numId w:val="5"/>
              </w:numPr>
              <w:tabs>
                <w:tab w:val="clear" w:pos="4320"/>
                <w:tab w:val="clear" w:pos="8640"/>
              </w:tabs>
              <w:spacing w:before="120" w:after="120"/>
              <w:jc w:val="both"/>
            </w:pPr>
            <w:r>
              <w:t>waive any liability or immunity of a district or charter school or distr</w:t>
            </w:r>
            <w:r>
              <w:t>ict or school officers or employees</w:t>
            </w:r>
            <w:r>
              <w:t>;</w:t>
            </w:r>
            <w:r>
              <w:t xml:space="preserve"> or </w:t>
            </w:r>
          </w:p>
          <w:p w:rsidR="00BB073F" w:rsidRDefault="003A671C" w:rsidP="008D0B17">
            <w:pPr>
              <w:pStyle w:val="Header"/>
              <w:numPr>
                <w:ilvl w:val="0"/>
                <w:numId w:val="5"/>
              </w:numPr>
              <w:tabs>
                <w:tab w:val="clear" w:pos="4320"/>
                <w:tab w:val="clear" w:pos="8640"/>
              </w:tabs>
              <w:jc w:val="both"/>
            </w:pPr>
            <w:r>
              <w:t xml:space="preserve">create any liability for those entities or individuals. </w:t>
            </w:r>
          </w:p>
          <w:p w:rsidR="00BB073F" w:rsidRDefault="003A671C" w:rsidP="008D0B17">
            <w:pPr>
              <w:pStyle w:val="Header"/>
              <w:tabs>
                <w:tab w:val="clear" w:pos="4320"/>
                <w:tab w:val="clear" w:pos="8640"/>
              </w:tabs>
              <w:jc w:val="both"/>
            </w:pPr>
          </w:p>
          <w:p w:rsidR="00512113" w:rsidRDefault="003A671C" w:rsidP="008D0B17">
            <w:pPr>
              <w:pStyle w:val="Header"/>
              <w:tabs>
                <w:tab w:val="clear" w:pos="4320"/>
                <w:tab w:val="clear" w:pos="8640"/>
              </w:tabs>
              <w:jc w:val="both"/>
            </w:pPr>
            <w:r>
              <w:t xml:space="preserve">C.S.H.B. 2555 </w:t>
            </w:r>
            <w:r>
              <w:t>establishes that those provisions</w:t>
            </w:r>
            <w:r>
              <w:t xml:space="preserve"> relating to such policies</w:t>
            </w:r>
            <w:r>
              <w:t xml:space="preserve">, including any information or materials developed and the dissemination of </w:t>
            </w:r>
            <w:r>
              <w:t>such</w:t>
            </w:r>
            <w:r>
              <w:t xml:space="preserve"> </w:t>
            </w:r>
            <w:r>
              <w:t>inf</w:t>
            </w:r>
            <w:r>
              <w:t xml:space="preserve">ormation or material </w:t>
            </w:r>
            <w:r>
              <w:t xml:space="preserve">under the provisions, </w:t>
            </w:r>
            <w:r>
              <w:t xml:space="preserve">do </w:t>
            </w:r>
            <w:r>
              <w:t>not create a civil, criminal, or administrative cause of action or liability or create a standard of care, obligation, or duty that provides the basis for a cause of action.</w:t>
            </w:r>
          </w:p>
          <w:p w:rsidR="008423E4" w:rsidRPr="00835628" w:rsidRDefault="003A671C" w:rsidP="008D0B17">
            <w:pPr>
              <w:rPr>
                <w:b/>
              </w:rPr>
            </w:pPr>
          </w:p>
        </w:tc>
      </w:tr>
      <w:tr w:rsidR="00C04151" w:rsidTr="00345119">
        <w:tc>
          <w:tcPr>
            <w:tcW w:w="9576" w:type="dxa"/>
          </w:tcPr>
          <w:p w:rsidR="008423E4" w:rsidRPr="00A8133F" w:rsidRDefault="003A671C" w:rsidP="008D0B17">
            <w:pPr>
              <w:rPr>
                <w:b/>
              </w:rPr>
            </w:pPr>
            <w:r w:rsidRPr="009C1E9A">
              <w:rPr>
                <w:b/>
                <w:u w:val="single"/>
              </w:rPr>
              <w:t>EFFECTIVE DATE</w:t>
            </w:r>
            <w:r>
              <w:rPr>
                <w:b/>
              </w:rPr>
              <w:t xml:space="preserve"> </w:t>
            </w:r>
          </w:p>
          <w:p w:rsidR="008423E4" w:rsidRDefault="003A671C" w:rsidP="008D0B17"/>
          <w:p w:rsidR="008423E4" w:rsidRDefault="003A671C" w:rsidP="008D0B17">
            <w:pPr>
              <w:pStyle w:val="Header"/>
              <w:tabs>
                <w:tab w:val="clear" w:pos="4320"/>
                <w:tab w:val="clear" w:pos="8640"/>
              </w:tabs>
              <w:jc w:val="both"/>
            </w:pPr>
            <w:r>
              <w:t xml:space="preserve">On passage, or, </w:t>
            </w:r>
            <w:r>
              <w:t>if the bill does not receive the necessary vote, September 1, 2019.</w:t>
            </w:r>
          </w:p>
          <w:p w:rsidR="00020E48" w:rsidRPr="003624F2" w:rsidRDefault="003A671C" w:rsidP="008D0B17">
            <w:pPr>
              <w:pStyle w:val="Header"/>
              <w:tabs>
                <w:tab w:val="clear" w:pos="4320"/>
                <w:tab w:val="clear" w:pos="8640"/>
              </w:tabs>
              <w:jc w:val="both"/>
            </w:pPr>
          </w:p>
          <w:p w:rsidR="008423E4" w:rsidRPr="00233FDB" w:rsidRDefault="003A671C" w:rsidP="008D0B17">
            <w:pPr>
              <w:rPr>
                <w:b/>
              </w:rPr>
            </w:pPr>
          </w:p>
        </w:tc>
      </w:tr>
      <w:tr w:rsidR="00C04151" w:rsidTr="00345119">
        <w:tc>
          <w:tcPr>
            <w:tcW w:w="9576" w:type="dxa"/>
          </w:tcPr>
          <w:p w:rsidR="00765AC4" w:rsidRDefault="003A671C" w:rsidP="008D0B17">
            <w:pPr>
              <w:jc w:val="both"/>
              <w:rPr>
                <w:b/>
                <w:u w:val="single"/>
              </w:rPr>
            </w:pPr>
            <w:r>
              <w:rPr>
                <w:b/>
                <w:u w:val="single"/>
              </w:rPr>
              <w:t>COMPARISON OF ORIGINAL AND SUBSTITUTE</w:t>
            </w:r>
          </w:p>
          <w:p w:rsidR="00981E70" w:rsidRDefault="003A671C" w:rsidP="008D0B17">
            <w:pPr>
              <w:jc w:val="both"/>
            </w:pPr>
          </w:p>
          <w:p w:rsidR="00981E70" w:rsidRDefault="003A671C" w:rsidP="008D0B17">
            <w:pPr>
              <w:jc w:val="both"/>
            </w:pPr>
            <w:r>
              <w:t>While C.S.H.B. 2555 may differ from the original in minor or nonsubstantive ways, the following summarizes the substantial differences between the</w:t>
            </w:r>
            <w:r>
              <w:t xml:space="preserve"> introduced and committee substitute versions of the bill.</w:t>
            </w:r>
          </w:p>
          <w:p w:rsidR="009D5B17" w:rsidRDefault="003A671C" w:rsidP="008D0B17">
            <w:pPr>
              <w:jc w:val="both"/>
            </w:pPr>
          </w:p>
          <w:p w:rsidR="009D5B17" w:rsidRDefault="003A671C" w:rsidP="008D0B17">
            <w:pPr>
              <w:jc w:val="both"/>
            </w:pPr>
            <w:r>
              <w:t xml:space="preserve">The substitute includes </w:t>
            </w:r>
            <w:r>
              <w:t>the following:</w:t>
            </w:r>
          </w:p>
          <w:p w:rsidR="004846F6" w:rsidRDefault="003A671C" w:rsidP="008D0B17">
            <w:pPr>
              <w:pStyle w:val="ListParagraph"/>
              <w:numPr>
                <w:ilvl w:val="0"/>
                <w:numId w:val="4"/>
              </w:numPr>
              <w:spacing w:before="120" w:after="120"/>
              <w:contextualSpacing w:val="0"/>
              <w:jc w:val="both"/>
            </w:pPr>
            <w:r>
              <w:t xml:space="preserve">a requirement that any forms used by a district or </w:t>
            </w:r>
            <w:r>
              <w:t xml:space="preserve">charter </w:t>
            </w:r>
            <w:r>
              <w:t>school requesting information from a parent or guardian enrolling a child with a food allergy incl</w:t>
            </w:r>
            <w:r>
              <w:t>ude certain information;</w:t>
            </w:r>
          </w:p>
          <w:p w:rsidR="007F157D" w:rsidRDefault="003A671C" w:rsidP="008D0B17">
            <w:pPr>
              <w:pStyle w:val="ListParagraph"/>
              <w:numPr>
                <w:ilvl w:val="0"/>
                <w:numId w:val="4"/>
              </w:numPr>
              <w:spacing w:before="120" w:after="120"/>
              <w:contextualSpacing w:val="0"/>
              <w:jc w:val="both"/>
            </w:pPr>
            <w:r>
              <w:t>prohibitions against the guidelines requiring purchases</w:t>
            </w:r>
            <w:r>
              <w:t xml:space="preserve"> of FDA-approved treatments, the administration of such treatments by district or charter school personnel</w:t>
            </w:r>
            <w:r>
              <w:t>,</w:t>
            </w:r>
            <w:r>
              <w:t xml:space="preserve"> and any</w:t>
            </w:r>
            <w:r>
              <w:t xml:space="preserve"> expenditures</w:t>
            </w:r>
            <w:r>
              <w:t xml:space="preserve"> </w:t>
            </w:r>
            <w:r>
              <w:t xml:space="preserve">to be made </w:t>
            </w:r>
            <w:r>
              <w:t>that would result in a negative fisc</w:t>
            </w:r>
            <w:r>
              <w:t>al impact on a district or charter school</w:t>
            </w:r>
            <w:r>
              <w:t>;</w:t>
            </w:r>
          </w:p>
          <w:p w:rsidR="007F157D" w:rsidRDefault="003A671C" w:rsidP="008D0B17">
            <w:pPr>
              <w:pStyle w:val="ListParagraph"/>
              <w:numPr>
                <w:ilvl w:val="0"/>
                <w:numId w:val="4"/>
              </w:numPr>
              <w:spacing w:before="120" w:after="120"/>
              <w:contextualSpacing w:val="0"/>
              <w:jc w:val="both"/>
            </w:pPr>
            <w:r>
              <w:t xml:space="preserve">a provision relating to </w:t>
            </w:r>
            <w:r>
              <w:t xml:space="preserve">liability and </w:t>
            </w:r>
            <w:r>
              <w:t>immunity</w:t>
            </w:r>
            <w:r>
              <w:t xml:space="preserve"> of districts, charter schools, or district or charter school officers or employees</w:t>
            </w:r>
            <w:r>
              <w:t xml:space="preserve"> </w:t>
            </w:r>
            <w:r>
              <w:t xml:space="preserve">with </w:t>
            </w:r>
            <w:r>
              <w:t>regard to</w:t>
            </w:r>
            <w:r>
              <w:t xml:space="preserve"> </w:t>
            </w:r>
            <w:r w:rsidRPr="007F157D">
              <w:t>policies for the care of certain students at risk for anaphylaxis</w:t>
            </w:r>
            <w:r>
              <w:t>; a</w:t>
            </w:r>
            <w:r>
              <w:t>nd</w:t>
            </w:r>
          </w:p>
          <w:p w:rsidR="007F157D" w:rsidRDefault="003A671C" w:rsidP="008D0B17">
            <w:pPr>
              <w:pStyle w:val="ListParagraph"/>
              <w:numPr>
                <w:ilvl w:val="0"/>
                <w:numId w:val="4"/>
              </w:numPr>
              <w:contextualSpacing w:val="0"/>
              <w:jc w:val="both"/>
            </w:pPr>
            <w:r>
              <w:t>a requirement that</w:t>
            </w:r>
            <w:r>
              <w:t xml:space="preserve"> physicians appointed to the ad hoc committee provide </w:t>
            </w:r>
            <w:r>
              <w:t xml:space="preserve">to the committee </w:t>
            </w:r>
            <w:r>
              <w:t>appropriate recommendations to be made to the commissioner on updating the current guidelines</w:t>
            </w:r>
            <w:r>
              <w:t>.</w:t>
            </w:r>
          </w:p>
          <w:p w:rsidR="009D5B17" w:rsidRDefault="003A671C" w:rsidP="008D0B17">
            <w:pPr>
              <w:jc w:val="both"/>
            </w:pPr>
          </w:p>
          <w:p w:rsidR="009D5B17" w:rsidRDefault="003A671C" w:rsidP="008D0B17">
            <w:pPr>
              <w:jc w:val="both"/>
            </w:pPr>
            <w:r>
              <w:t>The substitute changes provisions relating to:</w:t>
            </w:r>
          </w:p>
          <w:p w:rsidR="009D5B17" w:rsidRDefault="003A671C" w:rsidP="008D0B17">
            <w:pPr>
              <w:pStyle w:val="ListParagraph"/>
              <w:numPr>
                <w:ilvl w:val="0"/>
                <w:numId w:val="3"/>
              </w:numPr>
              <w:spacing w:before="120" w:after="120"/>
              <w:contextualSpacing w:val="0"/>
              <w:jc w:val="both"/>
            </w:pPr>
            <w:r>
              <w:t xml:space="preserve">the </w:t>
            </w:r>
            <w:r>
              <w:t xml:space="preserve">annual </w:t>
            </w:r>
            <w:r>
              <w:t>distribution</w:t>
            </w:r>
            <w:r>
              <w:t xml:space="preserve"> of a guidelines summary by the board of trustees of each district and the governing body of each charter school; and</w:t>
            </w:r>
          </w:p>
          <w:p w:rsidR="009D5B17" w:rsidRDefault="003A671C" w:rsidP="008D0B17">
            <w:pPr>
              <w:pStyle w:val="ListParagraph"/>
              <w:numPr>
                <w:ilvl w:val="0"/>
                <w:numId w:val="3"/>
              </w:numPr>
              <w:spacing w:before="120" w:after="120"/>
              <w:contextualSpacing w:val="0"/>
              <w:jc w:val="both"/>
            </w:pPr>
            <w:r>
              <w:t xml:space="preserve">the </w:t>
            </w:r>
            <w:r>
              <w:t xml:space="preserve">number of physicians on </w:t>
            </w:r>
            <w:r>
              <w:t>the ad hoc advisory committee.</w:t>
            </w:r>
          </w:p>
          <w:p w:rsidR="00981E70" w:rsidRPr="00981E70" w:rsidRDefault="003A671C" w:rsidP="008D0B17">
            <w:pPr>
              <w:jc w:val="both"/>
            </w:pPr>
          </w:p>
        </w:tc>
      </w:tr>
    </w:tbl>
    <w:p w:rsidR="008423E4" w:rsidRPr="00BE0E75" w:rsidRDefault="003A671C" w:rsidP="008423E4">
      <w:pPr>
        <w:spacing w:line="480" w:lineRule="auto"/>
        <w:jc w:val="both"/>
        <w:rPr>
          <w:rFonts w:ascii="Arial" w:hAnsi="Arial"/>
          <w:sz w:val="16"/>
          <w:szCs w:val="16"/>
        </w:rPr>
      </w:pPr>
    </w:p>
    <w:p w:rsidR="004108C3" w:rsidRPr="008423E4" w:rsidRDefault="003A671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671C">
      <w:r>
        <w:separator/>
      </w:r>
    </w:p>
  </w:endnote>
  <w:endnote w:type="continuationSeparator" w:id="0">
    <w:p w:rsidR="00000000" w:rsidRDefault="003A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A6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04151" w:rsidTr="009C1E9A">
      <w:trPr>
        <w:cantSplit/>
      </w:trPr>
      <w:tc>
        <w:tcPr>
          <w:tcW w:w="0" w:type="pct"/>
        </w:tcPr>
        <w:p w:rsidR="00137D90" w:rsidRDefault="003A671C" w:rsidP="009C1E9A">
          <w:pPr>
            <w:pStyle w:val="Footer"/>
            <w:tabs>
              <w:tab w:val="clear" w:pos="8640"/>
              <w:tab w:val="right" w:pos="9360"/>
            </w:tabs>
          </w:pPr>
        </w:p>
      </w:tc>
      <w:tc>
        <w:tcPr>
          <w:tcW w:w="2395" w:type="pct"/>
        </w:tcPr>
        <w:p w:rsidR="00137D90" w:rsidRDefault="003A671C" w:rsidP="009C1E9A">
          <w:pPr>
            <w:pStyle w:val="Footer"/>
            <w:tabs>
              <w:tab w:val="clear" w:pos="8640"/>
              <w:tab w:val="right" w:pos="9360"/>
            </w:tabs>
          </w:pPr>
        </w:p>
        <w:p w:rsidR="001A4310" w:rsidRDefault="003A671C" w:rsidP="009C1E9A">
          <w:pPr>
            <w:pStyle w:val="Footer"/>
            <w:tabs>
              <w:tab w:val="clear" w:pos="8640"/>
              <w:tab w:val="right" w:pos="9360"/>
            </w:tabs>
          </w:pPr>
        </w:p>
        <w:p w:rsidR="00137D90" w:rsidRDefault="003A671C" w:rsidP="009C1E9A">
          <w:pPr>
            <w:pStyle w:val="Footer"/>
            <w:tabs>
              <w:tab w:val="clear" w:pos="8640"/>
              <w:tab w:val="right" w:pos="9360"/>
            </w:tabs>
          </w:pPr>
        </w:p>
      </w:tc>
      <w:tc>
        <w:tcPr>
          <w:tcW w:w="2453" w:type="pct"/>
        </w:tcPr>
        <w:p w:rsidR="00137D90" w:rsidRDefault="003A671C" w:rsidP="009C1E9A">
          <w:pPr>
            <w:pStyle w:val="Footer"/>
            <w:tabs>
              <w:tab w:val="clear" w:pos="8640"/>
              <w:tab w:val="right" w:pos="9360"/>
            </w:tabs>
            <w:jc w:val="right"/>
          </w:pPr>
        </w:p>
      </w:tc>
    </w:tr>
    <w:tr w:rsidR="00C04151" w:rsidTr="009C1E9A">
      <w:trPr>
        <w:cantSplit/>
      </w:trPr>
      <w:tc>
        <w:tcPr>
          <w:tcW w:w="0" w:type="pct"/>
        </w:tcPr>
        <w:p w:rsidR="00EC379B" w:rsidRDefault="003A671C" w:rsidP="009C1E9A">
          <w:pPr>
            <w:pStyle w:val="Footer"/>
            <w:tabs>
              <w:tab w:val="clear" w:pos="8640"/>
              <w:tab w:val="right" w:pos="9360"/>
            </w:tabs>
          </w:pPr>
        </w:p>
      </w:tc>
      <w:tc>
        <w:tcPr>
          <w:tcW w:w="2395" w:type="pct"/>
        </w:tcPr>
        <w:p w:rsidR="00EC379B" w:rsidRPr="009C1E9A" w:rsidRDefault="003A671C" w:rsidP="009C1E9A">
          <w:pPr>
            <w:pStyle w:val="Footer"/>
            <w:tabs>
              <w:tab w:val="clear" w:pos="8640"/>
              <w:tab w:val="right" w:pos="9360"/>
            </w:tabs>
            <w:rPr>
              <w:rFonts w:ascii="Shruti" w:hAnsi="Shruti"/>
              <w:sz w:val="22"/>
            </w:rPr>
          </w:pPr>
          <w:r>
            <w:rPr>
              <w:rFonts w:ascii="Shruti" w:hAnsi="Shruti"/>
              <w:sz w:val="22"/>
            </w:rPr>
            <w:t>86R 28606</w:t>
          </w:r>
        </w:p>
      </w:tc>
      <w:tc>
        <w:tcPr>
          <w:tcW w:w="2453" w:type="pct"/>
        </w:tcPr>
        <w:p w:rsidR="00EC379B" w:rsidRDefault="003A671C" w:rsidP="009C1E9A">
          <w:pPr>
            <w:pStyle w:val="Footer"/>
            <w:tabs>
              <w:tab w:val="clear" w:pos="8640"/>
              <w:tab w:val="right" w:pos="9360"/>
            </w:tabs>
            <w:jc w:val="right"/>
          </w:pPr>
          <w:r>
            <w:fldChar w:fldCharType="begin"/>
          </w:r>
          <w:r>
            <w:instrText xml:space="preserve"> DOCPROPERTY  OTID  \* MERGEFORMAT </w:instrText>
          </w:r>
          <w:r>
            <w:fldChar w:fldCharType="separate"/>
          </w:r>
          <w:r>
            <w:t>19.109.357</w:t>
          </w:r>
          <w:r>
            <w:fldChar w:fldCharType="end"/>
          </w:r>
        </w:p>
      </w:tc>
    </w:tr>
    <w:tr w:rsidR="00C04151" w:rsidTr="009C1E9A">
      <w:trPr>
        <w:cantSplit/>
      </w:trPr>
      <w:tc>
        <w:tcPr>
          <w:tcW w:w="0" w:type="pct"/>
        </w:tcPr>
        <w:p w:rsidR="00EC379B" w:rsidRDefault="003A671C" w:rsidP="009C1E9A">
          <w:pPr>
            <w:pStyle w:val="Footer"/>
            <w:tabs>
              <w:tab w:val="clear" w:pos="4320"/>
              <w:tab w:val="clear" w:pos="8640"/>
              <w:tab w:val="left" w:pos="2865"/>
            </w:tabs>
          </w:pPr>
        </w:p>
      </w:tc>
      <w:tc>
        <w:tcPr>
          <w:tcW w:w="2395" w:type="pct"/>
        </w:tcPr>
        <w:p w:rsidR="00EC379B" w:rsidRPr="009C1E9A" w:rsidRDefault="003A671C" w:rsidP="009C1E9A">
          <w:pPr>
            <w:pStyle w:val="Footer"/>
            <w:tabs>
              <w:tab w:val="clear" w:pos="4320"/>
              <w:tab w:val="clear" w:pos="8640"/>
              <w:tab w:val="left" w:pos="2865"/>
            </w:tabs>
            <w:rPr>
              <w:rFonts w:ascii="Shruti" w:hAnsi="Shruti"/>
              <w:sz w:val="22"/>
            </w:rPr>
          </w:pPr>
          <w:r>
            <w:rPr>
              <w:rFonts w:ascii="Shruti" w:hAnsi="Shruti"/>
              <w:sz w:val="22"/>
            </w:rPr>
            <w:t>Substitute Document Number: 86R 26423</w:t>
          </w:r>
        </w:p>
      </w:tc>
      <w:tc>
        <w:tcPr>
          <w:tcW w:w="2453" w:type="pct"/>
        </w:tcPr>
        <w:p w:rsidR="00EC379B" w:rsidRDefault="003A671C" w:rsidP="006D504F">
          <w:pPr>
            <w:pStyle w:val="Footer"/>
            <w:rPr>
              <w:rStyle w:val="PageNumber"/>
            </w:rPr>
          </w:pPr>
        </w:p>
        <w:p w:rsidR="00EC379B" w:rsidRDefault="003A671C" w:rsidP="009C1E9A">
          <w:pPr>
            <w:pStyle w:val="Footer"/>
            <w:tabs>
              <w:tab w:val="clear" w:pos="8640"/>
              <w:tab w:val="right" w:pos="9360"/>
            </w:tabs>
            <w:jc w:val="right"/>
          </w:pPr>
        </w:p>
      </w:tc>
    </w:tr>
    <w:tr w:rsidR="00C04151" w:rsidTr="009C1E9A">
      <w:trPr>
        <w:cantSplit/>
        <w:trHeight w:val="323"/>
      </w:trPr>
      <w:tc>
        <w:tcPr>
          <w:tcW w:w="0" w:type="pct"/>
          <w:gridSpan w:val="3"/>
        </w:tcPr>
        <w:p w:rsidR="00EC379B" w:rsidRDefault="003A671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3A671C" w:rsidP="009C1E9A">
          <w:pPr>
            <w:pStyle w:val="Footer"/>
            <w:tabs>
              <w:tab w:val="clear" w:pos="8640"/>
              <w:tab w:val="right" w:pos="9360"/>
            </w:tabs>
            <w:jc w:val="center"/>
          </w:pPr>
        </w:p>
      </w:tc>
    </w:tr>
  </w:tbl>
  <w:p w:rsidR="00EC379B" w:rsidRPr="00FF6F72" w:rsidRDefault="003A671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A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671C">
      <w:r>
        <w:separator/>
      </w:r>
    </w:p>
  </w:footnote>
  <w:footnote w:type="continuationSeparator" w:id="0">
    <w:p w:rsidR="00000000" w:rsidRDefault="003A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A6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A6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A6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6A1"/>
    <w:multiLevelType w:val="hybridMultilevel"/>
    <w:tmpl w:val="9866E81E"/>
    <w:lvl w:ilvl="0" w:tplc="12A8F8E8">
      <w:start w:val="1"/>
      <w:numFmt w:val="bullet"/>
      <w:lvlText w:val=""/>
      <w:lvlJc w:val="left"/>
      <w:pPr>
        <w:tabs>
          <w:tab w:val="num" w:pos="720"/>
        </w:tabs>
        <w:ind w:left="720" w:hanging="360"/>
      </w:pPr>
      <w:rPr>
        <w:rFonts w:ascii="Symbol" w:hAnsi="Symbol" w:hint="default"/>
      </w:rPr>
    </w:lvl>
    <w:lvl w:ilvl="1" w:tplc="86620148" w:tentative="1">
      <w:start w:val="1"/>
      <w:numFmt w:val="bullet"/>
      <w:lvlText w:val="o"/>
      <w:lvlJc w:val="left"/>
      <w:pPr>
        <w:ind w:left="1440" w:hanging="360"/>
      </w:pPr>
      <w:rPr>
        <w:rFonts w:ascii="Courier New" w:hAnsi="Courier New" w:cs="Courier New" w:hint="default"/>
      </w:rPr>
    </w:lvl>
    <w:lvl w:ilvl="2" w:tplc="92924F6A" w:tentative="1">
      <w:start w:val="1"/>
      <w:numFmt w:val="bullet"/>
      <w:lvlText w:val=""/>
      <w:lvlJc w:val="left"/>
      <w:pPr>
        <w:ind w:left="2160" w:hanging="360"/>
      </w:pPr>
      <w:rPr>
        <w:rFonts w:ascii="Wingdings" w:hAnsi="Wingdings" w:hint="default"/>
      </w:rPr>
    </w:lvl>
    <w:lvl w:ilvl="3" w:tplc="18B2C90A" w:tentative="1">
      <w:start w:val="1"/>
      <w:numFmt w:val="bullet"/>
      <w:lvlText w:val=""/>
      <w:lvlJc w:val="left"/>
      <w:pPr>
        <w:ind w:left="2880" w:hanging="360"/>
      </w:pPr>
      <w:rPr>
        <w:rFonts w:ascii="Symbol" w:hAnsi="Symbol" w:hint="default"/>
      </w:rPr>
    </w:lvl>
    <w:lvl w:ilvl="4" w:tplc="28221FD6" w:tentative="1">
      <w:start w:val="1"/>
      <w:numFmt w:val="bullet"/>
      <w:lvlText w:val="o"/>
      <w:lvlJc w:val="left"/>
      <w:pPr>
        <w:ind w:left="3600" w:hanging="360"/>
      </w:pPr>
      <w:rPr>
        <w:rFonts w:ascii="Courier New" w:hAnsi="Courier New" w:cs="Courier New" w:hint="default"/>
      </w:rPr>
    </w:lvl>
    <w:lvl w:ilvl="5" w:tplc="CC045E74" w:tentative="1">
      <w:start w:val="1"/>
      <w:numFmt w:val="bullet"/>
      <w:lvlText w:val=""/>
      <w:lvlJc w:val="left"/>
      <w:pPr>
        <w:ind w:left="4320" w:hanging="360"/>
      </w:pPr>
      <w:rPr>
        <w:rFonts w:ascii="Wingdings" w:hAnsi="Wingdings" w:hint="default"/>
      </w:rPr>
    </w:lvl>
    <w:lvl w:ilvl="6" w:tplc="E6866820" w:tentative="1">
      <w:start w:val="1"/>
      <w:numFmt w:val="bullet"/>
      <w:lvlText w:val=""/>
      <w:lvlJc w:val="left"/>
      <w:pPr>
        <w:ind w:left="5040" w:hanging="360"/>
      </w:pPr>
      <w:rPr>
        <w:rFonts w:ascii="Symbol" w:hAnsi="Symbol" w:hint="default"/>
      </w:rPr>
    </w:lvl>
    <w:lvl w:ilvl="7" w:tplc="FC14116E" w:tentative="1">
      <w:start w:val="1"/>
      <w:numFmt w:val="bullet"/>
      <w:lvlText w:val="o"/>
      <w:lvlJc w:val="left"/>
      <w:pPr>
        <w:ind w:left="5760" w:hanging="360"/>
      </w:pPr>
      <w:rPr>
        <w:rFonts w:ascii="Courier New" w:hAnsi="Courier New" w:cs="Courier New" w:hint="default"/>
      </w:rPr>
    </w:lvl>
    <w:lvl w:ilvl="8" w:tplc="1A48B7C6" w:tentative="1">
      <w:start w:val="1"/>
      <w:numFmt w:val="bullet"/>
      <w:lvlText w:val=""/>
      <w:lvlJc w:val="left"/>
      <w:pPr>
        <w:ind w:left="6480" w:hanging="360"/>
      </w:pPr>
      <w:rPr>
        <w:rFonts w:ascii="Wingdings" w:hAnsi="Wingdings" w:hint="default"/>
      </w:rPr>
    </w:lvl>
  </w:abstractNum>
  <w:abstractNum w:abstractNumId="1" w15:restartNumberingAfterBreak="0">
    <w:nsid w:val="10D90B64"/>
    <w:multiLevelType w:val="hybridMultilevel"/>
    <w:tmpl w:val="7C345910"/>
    <w:lvl w:ilvl="0" w:tplc="F3BC376A">
      <w:start w:val="1"/>
      <w:numFmt w:val="bullet"/>
      <w:lvlText w:val=""/>
      <w:lvlJc w:val="left"/>
      <w:pPr>
        <w:tabs>
          <w:tab w:val="num" w:pos="720"/>
        </w:tabs>
        <w:ind w:left="720" w:hanging="360"/>
      </w:pPr>
      <w:rPr>
        <w:rFonts w:ascii="Symbol" w:hAnsi="Symbol" w:hint="default"/>
      </w:rPr>
    </w:lvl>
    <w:lvl w:ilvl="1" w:tplc="5742E116" w:tentative="1">
      <w:start w:val="1"/>
      <w:numFmt w:val="bullet"/>
      <w:lvlText w:val="o"/>
      <w:lvlJc w:val="left"/>
      <w:pPr>
        <w:ind w:left="1440" w:hanging="360"/>
      </w:pPr>
      <w:rPr>
        <w:rFonts w:ascii="Courier New" w:hAnsi="Courier New" w:cs="Courier New" w:hint="default"/>
      </w:rPr>
    </w:lvl>
    <w:lvl w:ilvl="2" w:tplc="C3C27D50" w:tentative="1">
      <w:start w:val="1"/>
      <w:numFmt w:val="bullet"/>
      <w:lvlText w:val=""/>
      <w:lvlJc w:val="left"/>
      <w:pPr>
        <w:ind w:left="2160" w:hanging="360"/>
      </w:pPr>
      <w:rPr>
        <w:rFonts w:ascii="Wingdings" w:hAnsi="Wingdings" w:hint="default"/>
      </w:rPr>
    </w:lvl>
    <w:lvl w:ilvl="3" w:tplc="CC56BE74" w:tentative="1">
      <w:start w:val="1"/>
      <w:numFmt w:val="bullet"/>
      <w:lvlText w:val=""/>
      <w:lvlJc w:val="left"/>
      <w:pPr>
        <w:ind w:left="2880" w:hanging="360"/>
      </w:pPr>
      <w:rPr>
        <w:rFonts w:ascii="Symbol" w:hAnsi="Symbol" w:hint="default"/>
      </w:rPr>
    </w:lvl>
    <w:lvl w:ilvl="4" w:tplc="0AE6723C" w:tentative="1">
      <w:start w:val="1"/>
      <w:numFmt w:val="bullet"/>
      <w:lvlText w:val="o"/>
      <w:lvlJc w:val="left"/>
      <w:pPr>
        <w:ind w:left="3600" w:hanging="360"/>
      </w:pPr>
      <w:rPr>
        <w:rFonts w:ascii="Courier New" w:hAnsi="Courier New" w:cs="Courier New" w:hint="default"/>
      </w:rPr>
    </w:lvl>
    <w:lvl w:ilvl="5" w:tplc="DC94ABBC" w:tentative="1">
      <w:start w:val="1"/>
      <w:numFmt w:val="bullet"/>
      <w:lvlText w:val=""/>
      <w:lvlJc w:val="left"/>
      <w:pPr>
        <w:ind w:left="4320" w:hanging="360"/>
      </w:pPr>
      <w:rPr>
        <w:rFonts w:ascii="Wingdings" w:hAnsi="Wingdings" w:hint="default"/>
      </w:rPr>
    </w:lvl>
    <w:lvl w:ilvl="6" w:tplc="BBC29CF2" w:tentative="1">
      <w:start w:val="1"/>
      <w:numFmt w:val="bullet"/>
      <w:lvlText w:val=""/>
      <w:lvlJc w:val="left"/>
      <w:pPr>
        <w:ind w:left="5040" w:hanging="360"/>
      </w:pPr>
      <w:rPr>
        <w:rFonts w:ascii="Symbol" w:hAnsi="Symbol" w:hint="default"/>
      </w:rPr>
    </w:lvl>
    <w:lvl w:ilvl="7" w:tplc="57B070CE" w:tentative="1">
      <w:start w:val="1"/>
      <w:numFmt w:val="bullet"/>
      <w:lvlText w:val="o"/>
      <w:lvlJc w:val="left"/>
      <w:pPr>
        <w:ind w:left="5760" w:hanging="360"/>
      </w:pPr>
      <w:rPr>
        <w:rFonts w:ascii="Courier New" w:hAnsi="Courier New" w:cs="Courier New" w:hint="default"/>
      </w:rPr>
    </w:lvl>
    <w:lvl w:ilvl="8" w:tplc="EF24B82E" w:tentative="1">
      <w:start w:val="1"/>
      <w:numFmt w:val="bullet"/>
      <w:lvlText w:val=""/>
      <w:lvlJc w:val="left"/>
      <w:pPr>
        <w:ind w:left="6480" w:hanging="360"/>
      </w:pPr>
      <w:rPr>
        <w:rFonts w:ascii="Wingdings" w:hAnsi="Wingdings" w:hint="default"/>
      </w:rPr>
    </w:lvl>
  </w:abstractNum>
  <w:abstractNum w:abstractNumId="2" w15:restartNumberingAfterBreak="0">
    <w:nsid w:val="1DAB5BCE"/>
    <w:multiLevelType w:val="hybridMultilevel"/>
    <w:tmpl w:val="7AB29330"/>
    <w:lvl w:ilvl="0" w:tplc="786C3446">
      <w:start w:val="1"/>
      <w:numFmt w:val="bullet"/>
      <w:lvlText w:val=""/>
      <w:lvlJc w:val="left"/>
      <w:pPr>
        <w:tabs>
          <w:tab w:val="num" w:pos="720"/>
        </w:tabs>
        <w:ind w:left="720" w:hanging="360"/>
      </w:pPr>
      <w:rPr>
        <w:rFonts w:ascii="Symbol" w:hAnsi="Symbol" w:hint="default"/>
      </w:rPr>
    </w:lvl>
    <w:lvl w:ilvl="1" w:tplc="E070D3AC" w:tentative="1">
      <w:start w:val="1"/>
      <w:numFmt w:val="bullet"/>
      <w:lvlText w:val="o"/>
      <w:lvlJc w:val="left"/>
      <w:pPr>
        <w:ind w:left="1440" w:hanging="360"/>
      </w:pPr>
      <w:rPr>
        <w:rFonts w:ascii="Courier New" w:hAnsi="Courier New" w:cs="Courier New" w:hint="default"/>
      </w:rPr>
    </w:lvl>
    <w:lvl w:ilvl="2" w:tplc="0CB495A8" w:tentative="1">
      <w:start w:val="1"/>
      <w:numFmt w:val="bullet"/>
      <w:lvlText w:val=""/>
      <w:lvlJc w:val="left"/>
      <w:pPr>
        <w:ind w:left="2160" w:hanging="360"/>
      </w:pPr>
      <w:rPr>
        <w:rFonts w:ascii="Wingdings" w:hAnsi="Wingdings" w:hint="default"/>
      </w:rPr>
    </w:lvl>
    <w:lvl w:ilvl="3" w:tplc="D9D45972" w:tentative="1">
      <w:start w:val="1"/>
      <w:numFmt w:val="bullet"/>
      <w:lvlText w:val=""/>
      <w:lvlJc w:val="left"/>
      <w:pPr>
        <w:ind w:left="2880" w:hanging="360"/>
      </w:pPr>
      <w:rPr>
        <w:rFonts w:ascii="Symbol" w:hAnsi="Symbol" w:hint="default"/>
      </w:rPr>
    </w:lvl>
    <w:lvl w:ilvl="4" w:tplc="E042C76C" w:tentative="1">
      <w:start w:val="1"/>
      <w:numFmt w:val="bullet"/>
      <w:lvlText w:val="o"/>
      <w:lvlJc w:val="left"/>
      <w:pPr>
        <w:ind w:left="3600" w:hanging="360"/>
      </w:pPr>
      <w:rPr>
        <w:rFonts w:ascii="Courier New" w:hAnsi="Courier New" w:cs="Courier New" w:hint="default"/>
      </w:rPr>
    </w:lvl>
    <w:lvl w:ilvl="5" w:tplc="FB4AFE4A" w:tentative="1">
      <w:start w:val="1"/>
      <w:numFmt w:val="bullet"/>
      <w:lvlText w:val=""/>
      <w:lvlJc w:val="left"/>
      <w:pPr>
        <w:ind w:left="4320" w:hanging="360"/>
      </w:pPr>
      <w:rPr>
        <w:rFonts w:ascii="Wingdings" w:hAnsi="Wingdings" w:hint="default"/>
      </w:rPr>
    </w:lvl>
    <w:lvl w:ilvl="6" w:tplc="04B62DEA" w:tentative="1">
      <w:start w:val="1"/>
      <w:numFmt w:val="bullet"/>
      <w:lvlText w:val=""/>
      <w:lvlJc w:val="left"/>
      <w:pPr>
        <w:ind w:left="5040" w:hanging="360"/>
      </w:pPr>
      <w:rPr>
        <w:rFonts w:ascii="Symbol" w:hAnsi="Symbol" w:hint="default"/>
      </w:rPr>
    </w:lvl>
    <w:lvl w:ilvl="7" w:tplc="BFAA96A6" w:tentative="1">
      <w:start w:val="1"/>
      <w:numFmt w:val="bullet"/>
      <w:lvlText w:val="o"/>
      <w:lvlJc w:val="left"/>
      <w:pPr>
        <w:ind w:left="5760" w:hanging="360"/>
      </w:pPr>
      <w:rPr>
        <w:rFonts w:ascii="Courier New" w:hAnsi="Courier New" w:cs="Courier New" w:hint="default"/>
      </w:rPr>
    </w:lvl>
    <w:lvl w:ilvl="8" w:tplc="E654C0A4" w:tentative="1">
      <w:start w:val="1"/>
      <w:numFmt w:val="bullet"/>
      <w:lvlText w:val=""/>
      <w:lvlJc w:val="left"/>
      <w:pPr>
        <w:ind w:left="6480" w:hanging="360"/>
      </w:pPr>
      <w:rPr>
        <w:rFonts w:ascii="Wingdings" w:hAnsi="Wingdings" w:hint="default"/>
      </w:rPr>
    </w:lvl>
  </w:abstractNum>
  <w:abstractNum w:abstractNumId="3" w15:restartNumberingAfterBreak="0">
    <w:nsid w:val="511C7887"/>
    <w:multiLevelType w:val="hybridMultilevel"/>
    <w:tmpl w:val="2FF8C7CA"/>
    <w:lvl w:ilvl="0" w:tplc="B596C978">
      <w:start w:val="1"/>
      <w:numFmt w:val="bullet"/>
      <w:lvlText w:val=""/>
      <w:lvlJc w:val="left"/>
      <w:pPr>
        <w:tabs>
          <w:tab w:val="num" w:pos="720"/>
        </w:tabs>
        <w:ind w:left="720" w:hanging="360"/>
      </w:pPr>
      <w:rPr>
        <w:rFonts w:ascii="Symbol" w:hAnsi="Symbol" w:hint="default"/>
      </w:rPr>
    </w:lvl>
    <w:lvl w:ilvl="1" w:tplc="9FA05D40" w:tentative="1">
      <w:start w:val="1"/>
      <w:numFmt w:val="bullet"/>
      <w:lvlText w:val="o"/>
      <w:lvlJc w:val="left"/>
      <w:pPr>
        <w:ind w:left="1440" w:hanging="360"/>
      </w:pPr>
      <w:rPr>
        <w:rFonts w:ascii="Courier New" w:hAnsi="Courier New" w:cs="Courier New" w:hint="default"/>
      </w:rPr>
    </w:lvl>
    <w:lvl w:ilvl="2" w:tplc="C70A468E" w:tentative="1">
      <w:start w:val="1"/>
      <w:numFmt w:val="bullet"/>
      <w:lvlText w:val=""/>
      <w:lvlJc w:val="left"/>
      <w:pPr>
        <w:ind w:left="2160" w:hanging="360"/>
      </w:pPr>
      <w:rPr>
        <w:rFonts w:ascii="Wingdings" w:hAnsi="Wingdings" w:hint="default"/>
      </w:rPr>
    </w:lvl>
    <w:lvl w:ilvl="3" w:tplc="1CBCD48A" w:tentative="1">
      <w:start w:val="1"/>
      <w:numFmt w:val="bullet"/>
      <w:lvlText w:val=""/>
      <w:lvlJc w:val="left"/>
      <w:pPr>
        <w:ind w:left="2880" w:hanging="360"/>
      </w:pPr>
      <w:rPr>
        <w:rFonts w:ascii="Symbol" w:hAnsi="Symbol" w:hint="default"/>
      </w:rPr>
    </w:lvl>
    <w:lvl w:ilvl="4" w:tplc="33E8985E" w:tentative="1">
      <w:start w:val="1"/>
      <w:numFmt w:val="bullet"/>
      <w:lvlText w:val="o"/>
      <w:lvlJc w:val="left"/>
      <w:pPr>
        <w:ind w:left="3600" w:hanging="360"/>
      </w:pPr>
      <w:rPr>
        <w:rFonts w:ascii="Courier New" w:hAnsi="Courier New" w:cs="Courier New" w:hint="default"/>
      </w:rPr>
    </w:lvl>
    <w:lvl w:ilvl="5" w:tplc="B2ACE520" w:tentative="1">
      <w:start w:val="1"/>
      <w:numFmt w:val="bullet"/>
      <w:lvlText w:val=""/>
      <w:lvlJc w:val="left"/>
      <w:pPr>
        <w:ind w:left="4320" w:hanging="360"/>
      </w:pPr>
      <w:rPr>
        <w:rFonts w:ascii="Wingdings" w:hAnsi="Wingdings" w:hint="default"/>
      </w:rPr>
    </w:lvl>
    <w:lvl w:ilvl="6" w:tplc="ACD61BF2" w:tentative="1">
      <w:start w:val="1"/>
      <w:numFmt w:val="bullet"/>
      <w:lvlText w:val=""/>
      <w:lvlJc w:val="left"/>
      <w:pPr>
        <w:ind w:left="5040" w:hanging="360"/>
      </w:pPr>
      <w:rPr>
        <w:rFonts w:ascii="Symbol" w:hAnsi="Symbol" w:hint="default"/>
      </w:rPr>
    </w:lvl>
    <w:lvl w:ilvl="7" w:tplc="61E85E06" w:tentative="1">
      <w:start w:val="1"/>
      <w:numFmt w:val="bullet"/>
      <w:lvlText w:val="o"/>
      <w:lvlJc w:val="left"/>
      <w:pPr>
        <w:ind w:left="5760" w:hanging="360"/>
      </w:pPr>
      <w:rPr>
        <w:rFonts w:ascii="Courier New" w:hAnsi="Courier New" w:cs="Courier New" w:hint="default"/>
      </w:rPr>
    </w:lvl>
    <w:lvl w:ilvl="8" w:tplc="834C60D8" w:tentative="1">
      <w:start w:val="1"/>
      <w:numFmt w:val="bullet"/>
      <w:lvlText w:val=""/>
      <w:lvlJc w:val="left"/>
      <w:pPr>
        <w:ind w:left="6480" w:hanging="360"/>
      </w:pPr>
      <w:rPr>
        <w:rFonts w:ascii="Wingdings" w:hAnsi="Wingdings" w:hint="default"/>
      </w:rPr>
    </w:lvl>
  </w:abstractNum>
  <w:abstractNum w:abstractNumId="4" w15:restartNumberingAfterBreak="0">
    <w:nsid w:val="7E210738"/>
    <w:multiLevelType w:val="hybridMultilevel"/>
    <w:tmpl w:val="3B1E5782"/>
    <w:lvl w:ilvl="0" w:tplc="629C8D4E">
      <w:start w:val="1"/>
      <w:numFmt w:val="bullet"/>
      <w:lvlText w:val=""/>
      <w:lvlJc w:val="left"/>
      <w:pPr>
        <w:ind w:left="720" w:hanging="360"/>
      </w:pPr>
      <w:rPr>
        <w:rFonts w:ascii="Symbol" w:hAnsi="Symbol" w:hint="default"/>
      </w:rPr>
    </w:lvl>
    <w:lvl w:ilvl="1" w:tplc="7D92E462" w:tentative="1">
      <w:start w:val="1"/>
      <w:numFmt w:val="bullet"/>
      <w:lvlText w:val="o"/>
      <w:lvlJc w:val="left"/>
      <w:pPr>
        <w:ind w:left="1440" w:hanging="360"/>
      </w:pPr>
      <w:rPr>
        <w:rFonts w:ascii="Courier New" w:hAnsi="Courier New" w:cs="Courier New" w:hint="default"/>
      </w:rPr>
    </w:lvl>
    <w:lvl w:ilvl="2" w:tplc="03C05BD2" w:tentative="1">
      <w:start w:val="1"/>
      <w:numFmt w:val="bullet"/>
      <w:lvlText w:val=""/>
      <w:lvlJc w:val="left"/>
      <w:pPr>
        <w:ind w:left="2160" w:hanging="360"/>
      </w:pPr>
      <w:rPr>
        <w:rFonts w:ascii="Wingdings" w:hAnsi="Wingdings" w:hint="default"/>
      </w:rPr>
    </w:lvl>
    <w:lvl w:ilvl="3" w:tplc="FF922002" w:tentative="1">
      <w:start w:val="1"/>
      <w:numFmt w:val="bullet"/>
      <w:lvlText w:val=""/>
      <w:lvlJc w:val="left"/>
      <w:pPr>
        <w:ind w:left="2880" w:hanging="360"/>
      </w:pPr>
      <w:rPr>
        <w:rFonts w:ascii="Symbol" w:hAnsi="Symbol" w:hint="default"/>
      </w:rPr>
    </w:lvl>
    <w:lvl w:ilvl="4" w:tplc="2CCA9EAA" w:tentative="1">
      <w:start w:val="1"/>
      <w:numFmt w:val="bullet"/>
      <w:lvlText w:val="o"/>
      <w:lvlJc w:val="left"/>
      <w:pPr>
        <w:ind w:left="3600" w:hanging="360"/>
      </w:pPr>
      <w:rPr>
        <w:rFonts w:ascii="Courier New" w:hAnsi="Courier New" w:cs="Courier New" w:hint="default"/>
      </w:rPr>
    </w:lvl>
    <w:lvl w:ilvl="5" w:tplc="8FA2C6CA" w:tentative="1">
      <w:start w:val="1"/>
      <w:numFmt w:val="bullet"/>
      <w:lvlText w:val=""/>
      <w:lvlJc w:val="left"/>
      <w:pPr>
        <w:ind w:left="4320" w:hanging="360"/>
      </w:pPr>
      <w:rPr>
        <w:rFonts w:ascii="Wingdings" w:hAnsi="Wingdings" w:hint="default"/>
      </w:rPr>
    </w:lvl>
    <w:lvl w:ilvl="6" w:tplc="A86A9DFA" w:tentative="1">
      <w:start w:val="1"/>
      <w:numFmt w:val="bullet"/>
      <w:lvlText w:val=""/>
      <w:lvlJc w:val="left"/>
      <w:pPr>
        <w:ind w:left="5040" w:hanging="360"/>
      </w:pPr>
      <w:rPr>
        <w:rFonts w:ascii="Symbol" w:hAnsi="Symbol" w:hint="default"/>
      </w:rPr>
    </w:lvl>
    <w:lvl w:ilvl="7" w:tplc="FAFC4942" w:tentative="1">
      <w:start w:val="1"/>
      <w:numFmt w:val="bullet"/>
      <w:lvlText w:val="o"/>
      <w:lvlJc w:val="left"/>
      <w:pPr>
        <w:ind w:left="5760" w:hanging="360"/>
      </w:pPr>
      <w:rPr>
        <w:rFonts w:ascii="Courier New" w:hAnsi="Courier New" w:cs="Courier New" w:hint="default"/>
      </w:rPr>
    </w:lvl>
    <w:lvl w:ilvl="8" w:tplc="D7BCD66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51"/>
    <w:rsid w:val="003A671C"/>
    <w:rsid w:val="00C0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3617E7-E00B-4FA6-824A-81BFAB4F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67481"/>
    <w:rPr>
      <w:sz w:val="16"/>
      <w:szCs w:val="16"/>
    </w:rPr>
  </w:style>
  <w:style w:type="paragraph" w:styleId="CommentText">
    <w:name w:val="annotation text"/>
    <w:basedOn w:val="Normal"/>
    <w:link w:val="CommentTextChar"/>
    <w:semiHidden/>
    <w:unhideWhenUsed/>
    <w:rsid w:val="00E67481"/>
    <w:rPr>
      <w:sz w:val="20"/>
      <w:szCs w:val="20"/>
    </w:rPr>
  </w:style>
  <w:style w:type="character" w:customStyle="1" w:styleId="CommentTextChar">
    <w:name w:val="Comment Text Char"/>
    <w:basedOn w:val="DefaultParagraphFont"/>
    <w:link w:val="CommentText"/>
    <w:semiHidden/>
    <w:rsid w:val="00E67481"/>
  </w:style>
  <w:style w:type="paragraph" w:styleId="CommentSubject">
    <w:name w:val="annotation subject"/>
    <w:basedOn w:val="CommentText"/>
    <w:next w:val="CommentText"/>
    <w:link w:val="CommentSubjectChar"/>
    <w:semiHidden/>
    <w:unhideWhenUsed/>
    <w:rsid w:val="00E67481"/>
    <w:rPr>
      <w:b/>
      <w:bCs/>
    </w:rPr>
  </w:style>
  <w:style w:type="character" w:customStyle="1" w:styleId="CommentSubjectChar">
    <w:name w:val="Comment Subject Char"/>
    <w:basedOn w:val="CommentTextChar"/>
    <w:link w:val="CommentSubject"/>
    <w:semiHidden/>
    <w:rsid w:val="00E67481"/>
    <w:rPr>
      <w:b/>
      <w:bCs/>
    </w:rPr>
  </w:style>
  <w:style w:type="paragraph" w:styleId="ListParagraph">
    <w:name w:val="List Paragraph"/>
    <w:basedOn w:val="Normal"/>
    <w:uiPriority w:val="34"/>
    <w:qFormat/>
    <w:rsid w:val="009D5B17"/>
    <w:pPr>
      <w:ind w:left="720"/>
      <w:contextualSpacing/>
    </w:pPr>
  </w:style>
  <w:style w:type="paragraph" w:styleId="Revision">
    <w:name w:val="Revision"/>
    <w:hidden/>
    <w:uiPriority w:val="99"/>
    <w:semiHidden/>
    <w:rsid w:val="001979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6591</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BA - HB02555 (Committee Report (Substituted))</vt:lpstr>
    </vt:vector>
  </TitlesOfParts>
  <Company>State of Texas</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28606</dc:subject>
  <dc:creator>State of Texas</dc:creator>
  <dc:description>HB 2555 by Parker-(H)Public Education (Substitute Document Number: 86R 26423)</dc:description>
  <cp:lastModifiedBy>Scotty Wimberley</cp:lastModifiedBy>
  <cp:revision>2</cp:revision>
  <cp:lastPrinted>2003-11-26T17:21:00Z</cp:lastPrinted>
  <dcterms:created xsi:type="dcterms:W3CDTF">2019-04-29T17:54:00Z</dcterms:created>
  <dcterms:modified xsi:type="dcterms:W3CDTF">2019-04-29T17:54:00Z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19.109.357</vt:lpwstr>
  </property>
</Properties>
</file>