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C7" w:rsidRDefault="003678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E9059AEC004753A0F571089E6D7D71"/>
          </w:placeholder>
        </w:sdtPr>
        <w:sdtContent>
          <w:r w:rsidRPr="005C2A78">
            <w:rPr>
              <w:rFonts w:cs="Times New Roman"/>
              <w:b/>
              <w:szCs w:val="24"/>
              <w:u w:val="single"/>
            </w:rPr>
            <w:t>BILL ANALYSIS</w:t>
          </w:r>
        </w:sdtContent>
      </w:sdt>
    </w:p>
    <w:p w:rsidR="003678C7" w:rsidRPr="00585C31" w:rsidRDefault="003678C7" w:rsidP="000F1DF9">
      <w:pPr>
        <w:spacing w:after="0" w:line="240" w:lineRule="auto"/>
        <w:rPr>
          <w:rFonts w:cs="Times New Roman"/>
          <w:szCs w:val="24"/>
        </w:rPr>
      </w:pPr>
    </w:p>
    <w:p w:rsidR="003678C7" w:rsidRPr="00585C31" w:rsidRDefault="003678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8C7" w:rsidTr="000F1DF9">
        <w:tc>
          <w:tcPr>
            <w:tcW w:w="2718" w:type="dxa"/>
          </w:tcPr>
          <w:p w:rsidR="003678C7" w:rsidRPr="005C2A78" w:rsidRDefault="003678C7" w:rsidP="006D756B">
            <w:pPr>
              <w:rPr>
                <w:rFonts w:cs="Times New Roman"/>
                <w:szCs w:val="24"/>
              </w:rPr>
            </w:pPr>
            <w:sdt>
              <w:sdtPr>
                <w:rPr>
                  <w:rFonts w:cs="Times New Roman"/>
                  <w:szCs w:val="24"/>
                </w:rPr>
                <w:alias w:val="Agency Title"/>
                <w:tag w:val="AgencyTitleContentControl"/>
                <w:id w:val="1920747753"/>
                <w:lock w:val="sdtContentLocked"/>
                <w:placeholder>
                  <w:docPart w:val="C51B944F88E64540A7261B92EC9A03D5"/>
                </w:placeholder>
              </w:sdtPr>
              <w:sdtEndPr>
                <w:rPr>
                  <w:rFonts w:cstheme="minorBidi"/>
                  <w:szCs w:val="22"/>
                </w:rPr>
              </w:sdtEndPr>
              <w:sdtContent>
                <w:r>
                  <w:rPr>
                    <w:rFonts w:cs="Times New Roman"/>
                    <w:szCs w:val="24"/>
                  </w:rPr>
                  <w:t>Senate Research Center</w:t>
                </w:r>
              </w:sdtContent>
            </w:sdt>
          </w:p>
        </w:tc>
        <w:tc>
          <w:tcPr>
            <w:tcW w:w="6858" w:type="dxa"/>
          </w:tcPr>
          <w:p w:rsidR="003678C7" w:rsidRPr="00FF6471" w:rsidRDefault="003678C7" w:rsidP="000F1DF9">
            <w:pPr>
              <w:jc w:val="right"/>
              <w:rPr>
                <w:rFonts w:cs="Times New Roman"/>
                <w:szCs w:val="24"/>
              </w:rPr>
            </w:pPr>
            <w:sdt>
              <w:sdtPr>
                <w:rPr>
                  <w:rFonts w:cs="Times New Roman"/>
                  <w:szCs w:val="24"/>
                </w:rPr>
                <w:alias w:val="Bill Number"/>
                <w:tag w:val="BillNumberOne"/>
                <w:id w:val="-410784069"/>
                <w:lock w:val="sdtContentLocked"/>
                <w:placeholder>
                  <w:docPart w:val="A480CB8148514BDC89ACDF84236FDDCF"/>
                </w:placeholder>
              </w:sdtPr>
              <w:sdtContent>
                <w:r>
                  <w:rPr>
                    <w:rFonts w:cs="Times New Roman"/>
                    <w:szCs w:val="24"/>
                  </w:rPr>
                  <w:t>H.B. 2576</w:t>
                </w:r>
              </w:sdtContent>
            </w:sdt>
          </w:p>
        </w:tc>
      </w:tr>
      <w:tr w:rsidR="003678C7" w:rsidTr="000F1DF9">
        <w:sdt>
          <w:sdtPr>
            <w:rPr>
              <w:rFonts w:cs="Times New Roman"/>
              <w:szCs w:val="24"/>
            </w:rPr>
            <w:alias w:val="TLCNumber"/>
            <w:tag w:val="TLCNumber"/>
            <w:id w:val="-542600604"/>
            <w:lock w:val="sdtLocked"/>
            <w:placeholder>
              <w:docPart w:val="A2073976C7644B2DBF5A05D0F1FC162C"/>
            </w:placeholder>
          </w:sdtPr>
          <w:sdtContent>
            <w:tc>
              <w:tcPr>
                <w:tcW w:w="2718" w:type="dxa"/>
              </w:tcPr>
              <w:p w:rsidR="003678C7" w:rsidRPr="000F1DF9" w:rsidRDefault="003678C7" w:rsidP="00C65088">
                <w:pPr>
                  <w:rPr>
                    <w:rFonts w:cs="Times New Roman"/>
                    <w:szCs w:val="24"/>
                  </w:rPr>
                </w:pPr>
                <w:r>
                  <w:rPr>
                    <w:rFonts w:cs="Times New Roman"/>
                    <w:szCs w:val="24"/>
                  </w:rPr>
                  <w:t>86R23773 LHC-D</w:t>
                </w:r>
              </w:p>
            </w:tc>
          </w:sdtContent>
        </w:sdt>
        <w:tc>
          <w:tcPr>
            <w:tcW w:w="6858" w:type="dxa"/>
          </w:tcPr>
          <w:p w:rsidR="003678C7" w:rsidRPr="005C2A78" w:rsidRDefault="003678C7" w:rsidP="006D756B">
            <w:pPr>
              <w:jc w:val="right"/>
              <w:rPr>
                <w:rFonts w:cs="Times New Roman"/>
                <w:szCs w:val="24"/>
              </w:rPr>
            </w:pPr>
            <w:sdt>
              <w:sdtPr>
                <w:rPr>
                  <w:rFonts w:cs="Times New Roman"/>
                  <w:szCs w:val="24"/>
                </w:rPr>
                <w:alias w:val="Author Label"/>
                <w:tag w:val="By"/>
                <w:id w:val="72399597"/>
                <w:lock w:val="sdtLocked"/>
                <w:placeholder>
                  <w:docPart w:val="75B688E3626A41588D5B03C0C972DD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E6FD33A2204932AB5ED410D1065B34"/>
                </w:placeholder>
              </w:sdtPr>
              <w:sdtContent>
                <w:r>
                  <w:rPr>
                    <w:rFonts w:cs="Times New Roman"/>
                    <w:szCs w:val="24"/>
                  </w:rPr>
                  <w:t>Johnson, Jarvis; Raymond</w:t>
                </w:r>
              </w:sdtContent>
            </w:sdt>
            <w:sdt>
              <w:sdtPr>
                <w:rPr>
                  <w:rFonts w:cs="Times New Roman"/>
                  <w:szCs w:val="24"/>
                </w:rPr>
                <w:alias w:val="Sponsor"/>
                <w:tag w:val="Sponsor"/>
                <w:id w:val="-2039656131"/>
                <w:lock w:val="sdtContentLocked"/>
                <w:placeholder>
                  <w:docPart w:val="4DE399E6E454457988DD48FEADC0126C"/>
                </w:placeholder>
              </w:sdtPr>
              <w:sdtContent>
                <w:r>
                  <w:rPr>
                    <w:rFonts w:cs="Times New Roman"/>
                    <w:szCs w:val="24"/>
                  </w:rPr>
                  <w:t xml:space="preserve"> (Miles)</w:t>
                </w:r>
              </w:sdtContent>
            </w:sdt>
          </w:p>
        </w:tc>
      </w:tr>
      <w:tr w:rsidR="003678C7" w:rsidTr="000F1DF9">
        <w:tc>
          <w:tcPr>
            <w:tcW w:w="2718" w:type="dxa"/>
          </w:tcPr>
          <w:p w:rsidR="003678C7" w:rsidRPr="00BC7495" w:rsidRDefault="003678C7" w:rsidP="000F1DF9">
            <w:pPr>
              <w:rPr>
                <w:rFonts w:cs="Times New Roman"/>
                <w:szCs w:val="24"/>
              </w:rPr>
            </w:pPr>
          </w:p>
        </w:tc>
        <w:sdt>
          <w:sdtPr>
            <w:rPr>
              <w:rFonts w:cs="Times New Roman"/>
              <w:szCs w:val="24"/>
            </w:rPr>
            <w:alias w:val="Committee"/>
            <w:tag w:val="Committee"/>
            <w:id w:val="1914272295"/>
            <w:lock w:val="sdtContentLocked"/>
            <w:placeholder>
              <w:docPart w:val="4B4E343729784BC39B2E4B9AA7590906"/>
            </w:placeholder>
          </w:sdtPr>
          <w:sdtContent>
            <w:tc>
              <w:tcPr>
                <w:tcW w:w="6858" w:type="dxa"/>
              </w:tcPr>
              <w:p w:rsidR="003678C7" w:rsidRPr="00FF6471" w:rsidRDefault="003678C7" w:rsidP="000F1DF9">
                <w:pPr>
                  <w:jc w:val="right"/>
                  <w:rPr>
                    <w:rFonts w:cs="Times New Roman"/>
                    <w:szCs w:val="24"/>
                  </w:rPr>
                </w:pPr>
                <w:r>
                  <w:rPr>
                    <w:rFonts w:cs="Times New Roman"/>
                    <w:szCs w:val="24"/>
                  </w:rPr>
                  <w:t>Health &amp; Human Services</w:t>
                </w:r>
              </w:p>
            </w:tc>
          </w:sdtContent>
        </w:sdt>
      </w:tr>
      <w:tr w:rsidR="003678C7" w:rsidTr="000F1DF9">
        <w:tc>
          <w:tcPr>
            <w:tcW w:w="2718" w:type="dxa"/>
          </w:tcPr>
          <w:p w:rsidR="003678C7" w:rsidRPr="00BC7495" w:rsidRDefault="003678C7" w:rsidP="000F1DF9">
            <w:pPr>
              <w:rPr>
                <w:rFonts w:cs="Times New Roman"/>
                <w:szCs w:val="24"/>
              </w:rPr>
            </w:pPr>
          </w:p>
        </w:tc>
        <w:sdt>
          <w:sdtPr>
            <w:rPr>
              <w:rFonts w:cs="Times New Roman"/>
              <w:szCs w:val="24"/>
            </w:rPr>
            <w:alias w:val="Date"/>
            <w:tag w:val="DateContentControl"/>
            <w:id w:val="1178081906"/>
            <w:lock w:val="sdtLocked"/>
            <w:placeholder>
              <w:docPart w:val="846B09A08F5B4F66801D54E82AF8C78F"/>
            </w:placeholder>
            <w:date w:fullDate="2019-05-14T00:00:00Z">
              <w:dateFormat w:val="M/d/yyyy"/>
              <w:lid w:val="en-US"/>
              <w:storeMappedDataAs w:val="dateTime"/>
              <w:calendar w:val="gregorian"/>
            </w:date>
          </w:sdtPr>
          <w:sdtContent>
            <w:tc>
              <w:tcPr>
                <w:tcW w:w="6858" w:type="dxa"/>
              </w:tcPr>
              <w:p w:rsidR="003678C7" w:rsidRPr="00FF6471" w:rsidRDefault="003678C7" w:rsidP="000F1DF9">
                <w:pPr>
                  <w:jc w:val="right"/>
                  <w:rPr>
                    <w:rFonts w:cs="Times New Roman"/>
                    <w:szCs w:val="24"/>
                  </w:rPr>
                </w:pPr>
                <w:r>
                  <w:rPr>
                    <w:rFonts w:cs="Times New Roman"/>
                    <w:szCs w:val="24"/>
                  </w:rPr>
                  <w:t>5/14/2019</w:t>
                </w:r>
              </w:p>
            </w:tc>
          </w:sdtContent>
        </w:sdt>
      </w:tr>
      <w:tr w:rsidR="003678C7" w:rsidTr="000F1DF9">
        <w:tc>
          <w:tcPr>
            <w:tcW w:w="2718" w:type="dxa"/>
          </w:tcPr>
          <w:p w:rsidR="003678C7" w:rsidRPr="00BC7495" w:rsidRDefault="003678C7" w:rsidP="000F1DF9">
            <w:pPr>
              <w:rPr>
                <w:rFonts w:cs="Times New Roman"/>
                <w:szCs w:val="24"/>
              </w:rPr>
            </w:pPr>
          </w:p>
        </w:tc>
        <w:sdt>
          <w:sdtPr>
            <w:rPr>
              <w:rFonts w:cs="Times New Roman"/>
              <w:szCs w:val="24"/>
            </w:rPr>
            <w:alias w:val="BA Version"/>
            <w:tag w:val="BAVersion"/>
            <w:id w:val="-1685590809"/>
            <w:lock w:val="sdtContentLocked"/>
            <w:placeholder>
              <w:docPart w:val="946B6ECC462B4C2D8861D26407DDD3D0"/>
            </w:placeholder>
          </w:sdtPr>
          <w:sdtContent>
            <w:tc>
              <w:tcPr>
                <w:tcW w:w="6858" w:type="dxa"/>
              </w:tcPr>
              <w:p w:rsidR="003678C7" w:rsidRPr="00FF6471" w:rsidRDefault="003678C7" w:rsidP="000F1DF9">
                <w:pPr>
                  <w:jc w:val="right"/>
                  <w:rPr>
                    <w:rFonts w:cs="Times New Roman"/>
                    <w:szCs w:val="24"/>
                  </w:rPr>
                </w:pPr>
                <w:r>
                  <w:rPr>
                    <w:rFonts w:cs="Times New Roman"/>
                    <w:szCs w:val="24"/>
                  </w:rPr>
                  <w:t>Engrossed</w:t>
                </w:r>
              </w:p>
            </w:tc>
          </w:sdtContent>
        </w:sdt>
      </w:tr>
    </w:tbl>
    <w:p w:rsidR="003678C7" w:rsidRPr="00FF6471" w:rsidRDefault="003678C7" w:rsidP="000F1DF9">
      <w:pPr>
        <w:spacing w:after="0" w:line="240" w:lineRule="auto"/>
        <w:rPr>
          <w:rFonts w:cs="Times New Roman"/>
          <w:szCs w:val="24"/>
        </w:rPr>
      </w:pPr>
    </w:p>
    <w:p w:rsidR="003678C7" w:rsidRPr="00FF6471" w:rsidRDefault="003678C7" w:rsidP="000F1DF9">
      <w:pPr>
        <w:spacing w:after="0" w:line="240" w:lineRule="auto"/>
        <w:rPr>
          <w:rFonts w:cs="Times New Roman"/>
          <w:szCs w:val="24"/>
        </w:rPr>
      </w:pPr>
    </w:p>
    <w:p w:rsidR="003678C7" w:rsidRPr="00FF6471" w:rsidRDefault="003678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9E1DDB3DF94B9D8E983E23DAC3E06E"/>
        </w:placeholder>
      </w:sdtPr>
      <w:sdtContent>
        <w:p w:rsidR="003678C7" w:rsidRDefault="003678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612C5F7F6048CEA0694AC8CDE1DE81"/>
        </w:placeholder>
      </w:sdtPr>
      <w:sdtContent>
        <w:p w:rsidR="003678C7" w:rsidRPr="009314D6" w:rsidRDefault="003678C7" w:rsidP="00226713">
          <w:pPr>
            <w:pStyle w:val="NormalWeb"/>
            <w:spacing w:before="0" w:beforeAutospacing="0" w:after="0" w:afterAutospacing="0"/>
            <w:jc w:val="both"/>
            <w:divId w:val="422146056"/>
            <w:rPr>
              <w:rFonts w:eastAsia="Times New Roman"/>
              <w:bCs/>
            </w:rPr>
          </w:pPr>
        </w:p>
        <w:p w:rsidR="003678C7" w:rsidRDefault="003678C7" w:rsidP="00226713">
          <w:pPr>
            <w:pStyle w:val="NormalWeb"/>
            <w:spacing w:before="0" w:beforeAutospacing="0" w:after="0" w:afterAutospacing="0"/>
            <w:jc w:val="both"/>
            <w:divId w:val="422146056"/>
          </w:pPr>
          <w:r w:rsidRPr="009314D6">
            <w:t xml:space="preserve">According to the Mayo Clinic, periodic episodes of pain, called crises, are a major symptom of </w:t>
          </w:r>
          <w:r>
            <w:t>sickle cell disease (SCD)</w:t>
          </w:r>
          <w:r w:rsidRPr="009314D6">
            <w:t>. Pain develops when sickle-shaped red blood cells block blood flow through capillaries. The lack of blood flow to portions of the chest, abdomen, joints, and bones results in pain that ranges in severity from person to person.</w:t>
          </w:r>
          <w:r>
            <w:t xml:space="preserve"> </w:t>
          </w:r>
        </w:p>
        <w:p w:rsidR="003678C7" w:rsidRPr="009314D6" w:rsidRDefault="003678C7" w:rsidP="00226713">
          <w:pPr>
            <w:pStyle w:val="NormalWeb"/>
            <w:spacing w:before="0" w:beforeAutospacing="0" w:after="0" w:afterAutospacing="0"/>
            <w:jc w:val="both"/>
            <w:divId w:val="422146056"/>
          </w:pPr>
        </w:p>
        <w:p w:rsidR="003678C7" w:rsidRDefault="003678C7" w:rsidP="00226713">
          <w:pPr>
            <w:pStyle w:val="NormalWeb"/>
            <w:spacing w:before="0" w:beforeAutospacing="0" w:after="0" w:afterAutospacing="0"/>
            <w:jc w:val="both"/>
            <w:divId w:val="422146056"/>
          </w:pPr>
          <w:r w:rsidRPr="009314D6">
            <w:t>The pain varies in intensity and can last for a few hours to a few weeks. Some people have only a few pain episodes. Others have a dozen or more crises a year. Per the Mayo Clinic, "if a crisis is severe enough, an individual might need to be hospitalized."</w:t>
          </w:r>
          <w:r>
            <w:t xml:space="preserve"> </w:t>
          </w:r>
        </w:p>
        <w:p w:rsidR="003678C7" w:rsidRPr="009314D6" w:rsidRDefault="003678C7" w:rsidP="00226713">
          <w:pPr>
            <w:pStyle w:val="NormalWeb"/>
            <w:spacing w:before="0" w:beforeAutospacing="0" w:after="0" w:afterAutospacing="0"/>
            <w:jc w:val="both"/>
            <w:divId w:val="422146056"/>
          </w:pPr>
        </w:p>
        <w:p w:rsidR="003678C7" w:rsidRDefault="003678C7" w:rsidP="00226713">
          <w:pPr>
            <w:pStyle w:val="NormalWeb"/>
            <w:spacing w:before="0" w:beforeAutospacing="0" w:after="0" w:afterAutospacing="0"/>
            <w:jc w:val="both"/>
            <w:divId w:val="422146056"/>
          </w:pPr>
          <w:r w:rsidRPr="009314D6">
            <w:t>Currently, cancer patients or individuals on hospice care are not subject to requirements imposed through the Prescription Monitoring Program (PMP) that might otherwise bar those at high risk of developing Opioid Use Disorder from receiving opioids. The PMP flags frequent opioid users who are not diagnosed with cancer or are on hospice care. Those flags can then be interpreted by doctors or dispensaries as a reason to halt opioid prescriptions. These flags can hinder cancer and hospice care patients ability to manage pain with opioids. Per Sec</w:t>
          </w:r>
          <w:r>
            <w:t>tion</w:t>
          </w:r>
          <w:r w:rsidRPr="009314D6">
            <w:t>. 2576 of the Health and Safety Code, doctors are not required to check the PMP before prescribing or dispensing opioids to individuals on hospice care or who are diagnosed with cancer.</w:t>
          </w:r>
          <w:r>
            <w:t xml:space="preserve"> </w:t>
          </w:r>
        </w:p>
        <w:p w:rsidR="003678C7" w:rsidRPr="009314D6" w:rsidRDefault="003678C7" w:rsidP="00226713">
          <w:pPr>
            <w:pStyle w:val="NormalWeb"/>
            <w:spacing w:before="0" w:beforeAutospacing="0" w:after="0" w:afterAutospacing="0"/>
            <w:jc w:val="both"/>
            <w:divId w:val="422146056"/>
          </w:pPr>
        </w:p>
        <w:p w:rsidR="003678C7" w:rsidRPr="009314D6" w:rsidRDefault="003678C7" w:rsidP="00226713">
          <w:pPr>
            <w:pStyle w:val="NormalWeb"/>
            <w:spacing w:before="0" w:beforeAutospacing="0" w:after="0" w:afterAutospacing="0"/>
            <w:jc w:val="both"/>
            <w:divId w:val="422146056"/>
          </w:pPr>
          <w:r w:rsidRPr="009314D6">
            <w:t>H.B. 2576 would provide the same protections to individ</w:t>
          </w:r>
          <w:r>
            <w:t xml:space="preserve">uals who are diagnosed with SCD, </w:t>
          </w:r>
          <w:r w:rsidRPr="009314D6">
            <w:t xml:space="preserve"> helping them to access opioids in order to combat crises with greater ease.</w:t>
          </w:r>
        </w:p>
        <w:p w:rsidR="003678C7" w:rsidRPr="00D70925" w:rsidRDefault="003678C7" w:rsidP="00226713">
          <w:pPr>
            <w:spacing w:after="0" w:line="240" w:lineRule="auto"/>
            <w:jc w:val="both"/>
            <w:rPr>
              <w:rFonts w:eastAsia="Times New Roman" w:cs="Times New Roman"/>
              <w:bCs/>
              <w:szCs w:val="24"/>
            </w:rPr>
          </w:pPr>
        </w:p>
      </w:sdtContent>
    </w:sdt>
    <w:p w:rsidR="003678C7" w:rsidRDefault="003678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2576 </w:t>
      </w:r>
      <w:bookmarkStart w:id="1" w:name="AmendsCurrentLaw"/>
      <w:bookmarkEnd w:id="1"/>
      <w:r>
        <w:rPr>
          <w:rFonts w:cs="Times New Roman"/>
          <w:szCs w:val="24"/>
        </w:rPr>
        <w:t>amends current law relating to prescribing and dispensing certain controlled substances to patients diagnosed with sickle cell disease.</w:t>
      </w:r>
    </w:p>
    <w:p w:rsidR="003678C7" w:rsidRPr="009314D6" w:rsidRDefault="003678C7" w:rsidP="000F1DF9">
      <w:pPr>
        <w:spacing w:after="0" w:line="240" w:lineRule="auto"/>
        <w:jc w:val="both"/>
        <w:rPr>
          <w:rFonts w:eastAsia="Times New Roman" w:cs="Times New Roman"/>
          <w:szCs w:val="24"/>
        </w:rPr>
      </w:pPr>
    </w:p>
    <w:p w:rsidR="003678C7" w:rsidRPr="005C2A78" w:rsidRDefault="003678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360CE18FDB412895720B198547A280"/>
          </w:placeholder>
        </w:sdtPr>
        <w:sdtContent>
          <w:r>
            <w:rPr>
              <w:rFonts w:eastAsia="Times New Roman" w:cs="Times New Roman"/>
              <w:b/>
              <w:szCs w:val="24"/>
              <w:u w:val="single"/>
            </w:rPr>
            <w:t>RULEMAKING AUTHORITY</w:t>
          </w:r>
        </w:sdtContent>
      </w:sdt>
    </w:p>
    <w:p w:rsidR="003678C7" w:rsidRPr="006529C4" w:rsidRDefault="003678C7" w:rsidP="00774EC7">
      <w:pPr>
        <w:spacing w:after="0" w:line="240" w:lineRule="auto"/>
        <w:jc w:val="both"/>
        <w:rPr>
          <w:rFonts w:cs="Times New Roman"/>
          <w:szCs w:val="24"/>
        </w:rPr>
      </w:pPr>
    </w:p>
    <w:p w:rsidR="003678C7" w:rsidRPr="006529C4" w:rsidRDefault="003678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78C7" w:rsidRPr="006529C4" w:rsidRDefault="003678C7" w:rsidP="00774EC7">
      <w:pPr>
        <w:spacing w:after="0" w:line="240" w:lineRule="auto"/>
        <w:jc w:val="both"/>
        <w:rPr>
          <w:rFonts w:cs="Times New Roman"/>
          <w:szCs w:val="24"/>
        </w:rPr>
      </w:pPr>
    </w:p>
    <w:p w:rsidR="003678C7" w:rsidRPr="005C2A78" w:rsidRDefault="003678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85538722A145A8BE9317588EB95701"/>
          </w:placeholder>
        </w:sdtPr>
        <w:sdtContent>
          <w:r>
            <w:rPr>
              <w:rFonts w:eastAsia="Times New Roman" w:cs="Times New Roman"/>
              <w:b/>
              <w:szCs w:val="24"/>
              <w:u w:val="single"/>
            </w:rPr>
            <w:t>SECTION BY SECTION ANALYSIS</w:t>
          </w:r>
        </w:sdtContent>
      </w:sdt>
    </w:p>
    <w:p w:rsidR="003678C7" w:rsidRPr="005C2A78" w:rsidRDefault="003678C7" w:rsidP="000F1DF9">
      <w:pPr>
        <w:spacing w:after="0" w:line="240" w:lineRule="auto"/>
        <w:jc w:val="both"/>
        <w:rPr>
          <w:rFonts w:eastAsia="Times New Roman" w:cs="Times New Roman"/>
          <w:szCs w:val="24"/>
        </w:rPr>
      </w:pPr>
    </w:p>
    <w:p w:rsidR="003678C7" w:rsidRDefault="003678C7" w:rsidP="0022671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314D6">
        <w:rPr>
          <w:rFonts w:eastAsia="Times New Roman" w:cs="Times New Roman"/>
          <w:szCs w:val="24"/>
        </w:rPr>
        <w:t>Sections 481.0765(a) and (b), Health and Safety Code, as follows:</w:t>
      </w:r>
      <w:r>
        <w:rPr>
          <w:rFonts w:eastAsia="Times New Roman" w:cs="Times New Roman"/>
          <w:szCs w:val="24"/>
        </w:rPr>
        <w:t xml:space="preserve"> </w:t>
      </w:r>
    </w:p>
    <w:p w:rsidR="003678C7" w:rsidRDefault="003678C7" w:rsidP="00226713">
      <w:pPr>
        <w:spacing w:line="240" w:lineRule="auto"/>
        <w:ind w:left="720"/>
        <w:jc w:val="both"/>
        <w:rPr>
          <w:rFonts w:eastAsia="Times New Roman" w:cs="Times New Roman"/>
          <w:szCs w:val="24"/>
        </w:rPr>
      </w:pPr>
      <w:r>
        <w:rPr>
          <w:rFonts w:eastAsia="Times New Roman" w:cs="Times New Roman"/>
          <w:szCs w:val="24"/>
        </w:rPr>
        <w:t>(a) Provides that a</w:t>
      </w:r>
      <w:r w:rsidRPr="009314D6">
        <w:rPr>
          <w:rFonts w:eastAsia="Times New Roman" w:cs="Times New Roman"/>
          <w:szCs w:val="24"/>
        </w:rPr>
        <w:t xml:space="preserve"> prescriber is not subject to the requirements of Section 481.0764(a) if:</w:t>
      </w:r>
      <w:r>
        <w:rPr>
          <w:rFonts w:eastAsia="Times New Roman" w:cs="Times New Roman"/>
          <w:szCs w:val="24"/>
        </w:rPr>
        <w:t xml:space="preserve"> </w:t>
      </w:r>
    </w:p>
    <w:p w:rsidR="003678C7" w:rsidRDefault="003678C7" w:rsidP="00226713">
      <w:pPr>
        <w:spacing w:line="240" w:lineRule="auto"/>
        <w:ind w:left="1440"/>
        <w:jc w:val="both"/>
        <w:rPr>
          <w:rFonts w:eastAsia="Times New Roman" w:cs="Times New Roman"/>
          <w:szCs w:val="24"/>
        </w:rPr>
      </w:pPr>
      <w:r>
        <w:rPr>
          <w:rFonts w:eastAsia="Times New Roman" w:cs="Times New Roman"/>
          <w:szCs w:val="24"/>
        </w:rPr>
        <w:t xml:space="preserve">(1) the patient has been diagnosed with cancer or sickle cell disease or the patient is receiving hospice care; and </w:t>
      </w:r>
    </w:p>
    <w:p w:rsidR="003678C7" w:rsidRDefault="003678C7" w:rsidP="00226713">
      <w:pPr>
        <w:spacing w:line="240" w:lineRule="auto"/>
        <w:ind w:left="1440"/>
        <w:jc w:val="both"/>
        <w:rPr>
          <w:rFonts w:eastAsia="Times New Roman" w:cs="Times New Roman"/>
          <w:szCs w:val="24"/>
        </w:rPr>
      </w:pPr>
      <w:r>
        <w:rPr>
          <w:rFonts w:eastAsia="Times New Roman" w:cs="Times New Roman"/>
          <w:szCs w:val="24"/>
        </w:rPr>
        <w:t xml:space="preserve">(2) makes a conforming change.  </w:t>
      </w:r>
    </w:p>
    <w:p w:rsidR="003678C7" w:rsidRPr="005C2A78" w:rsidRDefault="003678C7" w:rsidP="00226713">
      <w:pPr>
        <w:spacing w:line="240" w:lineRule="auto"/>
        <w:ind w:left="720"/>
        <w:jc w:val="both"/>
        <w:rPr>
          <w:rFonts w:eastAsia="Times New Roman" w:cs="Times New Roman"/>
          <w:szCs w:val="24"/>
        </w:rPr>
      </w:pPr>
      <w:r>
        <w:rPr>
          <w:rFonts w:eastAsia="Times New Roman" w:cs="Times New Roman"/>
          <w:szCs w:val="24"/>
        </w:rPr>
        <w:t xml:space="preserve">(b) Makes a conforming change. </w:t>
      </w:r>
    </w:p>
    <w:p w:rsidR="003678C7" w:rsidRPr="005C2A78" w:rsidRDefault="003678C7" w:rsidP="002267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3678C7" w:rsidRPr="005C2A78" w:rsidRDefault="003678C7" w:rsidP="00226713">
      <w:pPr>
        <w:spacing w:after="0" w:line="240" w:lineRule="auto"/>
        <w:jc w:val="both"/>
        <w:rPr>
          <w:rFonts w:eastAsia="Times New Roman" w:cs="Times New Roman"/>
          <w:szCs w:val="24"/>
        </w:rPr>
      </w:pPr>
    </w:p>
    <w:p w:rsidR="003678C7" w:rsidRPr="00C8671F" w:rsidRDefault="003678C7" w:rsidP="0022671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3678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81" w:rsidRDefault="00EE0581" w:rsidP="000F1DF9">
      <w:pPr>
        <w:spacing w:after="0" w:line="240" w:lineRule="auto"/>
      </w:pPr>
      <w:r>
        <w:separator/>
      </w:r>
    </w:p>
  </w:endnote>
  <w:endnote w:type="continuationSeparator" w:id="0">
    <w:p w:rsidR="00EE0581" w:rsidRDefault="00EE05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05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8C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78C7">
                <w:rPr>
                  <w:sz w:val="20"/>
                  <w:szCs w:val="20"/>
                </w:rPr>
                <w:t>H.B. 2576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78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05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8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8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81" w:rsidRDefault="00EE0581" w:rsidP="000F1DF9">
      <w:pPr>
        <w:spacing w:after="0" w:line="240" w:lineRule="auto"/>
      </w:pPr>
      <w:r>
        <w:separator/>
      </w:r>
    </w:p>
  </w:footnote>
  <w:footnote w:type="continuationSeparator" w:id="0">
    <w:p w:rsidR="00EE0581" w:rsidRDefault="00EE05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8C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058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4A70"/>
  <w15:docId w15:val="{E05F3338-9E2A-4F31-B360-8A3C224F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8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0FC0" w:rsidP="00D60F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E9059AEC004753A0F571089E6D7D71"/>
        <w:category>
          <w:name w:val="General"/>
          <w:gallery w:val="placeholder"/>
        </w:category>
        <w:types>
          <w:type w:val="bbPlcHdr"/>
        </w:types>
        <w:behaviors>
          <w:behavior w:val="content"/>
        </w:behaviors>
        <w:guid w:val="{6CB6AF5B-E008-41D4-9A12-EE237C35B118}"/>
      </w:docPartPr>
      <w:docPartBody>
        <w:p w:rsidR="00000000" w:rsidRDefault="00E87A43"/>
      </w:docPartBody>
    </w:docPart>
    <w:docPart>
      <w:docPartPr>
        <w:name w:val="C51B944F88E64540A7261B92EC9A03D5"/>
        <w:category>
          <w:name w:val="General"/>
          <w:gallery w:val="placeholder"/>
        </w:category>
        <w:types>
          <w:type w:val="bbPlcHdr"/>
        </w:types>
        <w:behaviors>
          <w:behavior w:val="content"/>
        </w:behaviors>
        <w:guid w:val="{3419A3E6-72A4-44C3-AA4F-93A9221236E9}"/>
      </w:docPartPr>
      <w:docPartBody>
        <w:p w:rsidR="00000000" w:rsidRDefault="00E87A43"/>
      </w:docPartBody>
    </w:docPart>
    <w:docPart>
      <w:docPartPr>
        <w:name w:val="A480CB8148514BDC89ACDF84236FDDCF"/>
        <w:category>
          <w:name w:val="General"/>
          <w:gallery w:val="placeholder"/>
        </w:category>
        <w:types>
          <w:type w:val="bbPlcHdr"/>
        </w:types>
        <w:behaviors>
          <w:behavior w:val="content"/>
        </w:behaviors>
        <w:guid w:val="{EBC03451-66C3-446F-B9E2-A42CE10FBFDC}"/>
      </w:docPartPr>
      <w:docPartBody>
        <w:p w:rsidR="00000000" w:rsidRDefault="00E87A43"/>
      </w:docPartBody>
    </w:docPart>
    <w:docPart>
      <w:docPartPr>
        <w:name w:val="A2073976C7644B2DBF5A05D0F1FC162C"/>
        <w:category>
          <w:name w:val="General"/>
          <w:gallery w:val="placeholder"/>
        </w:category>
        <w:types>
          <w:type w:val="bbPlcHdr"/>
        </w:types>
        <w:behaviors>
          <w:behavior w:val="content"/>
        </w:behaviors>
        <w:guid w:val="{D110BF0A-5D26-4794-B2D6-2BE8FBAEC343}"/>
      </w:docPartPr>
      <w:docPartBody>
        <w:p w:rsidR="00000000" w:rsidRDefault="00E87A43"/>
      </w:docPartBody>
    </w:docPart>
    <w:docPart>
      <w:docPartPr>
        <w:name w:val="75B688E3626A41588D5B03C0C972DDE1"/>
        <w:category>
          <w:name w:val="General"/>
          <w:gallery w:val="placeholder"/>
        </w:category>
        <w:types>
          <w:type w:val="bbPlcHdr"/>
        </w:types>
        <w:behaviors>
          <w:behavior w:val="content"/>
        </w:behaviors>
        <w:guid w:val="{0C825F7C-0230-4DEB-8FE5-BA358CD31CF3}"/>
      </w:docPartPr>
      <w:docPartBody>
        <w:p w:rsidR="00000000" w:rsidRDefault="00E87A43"/>
      </w:docPartBody>
    </w:docPart>
    <w:docPart>
      <w:docPartPr>
        <w:name w:val="42E6FD33A2204932AB5ED410D1065B34"/>
        <w:category>
          <w:name w:val="General"/>
          <w:gallery w:val="placeholder"/>
        </w:category>
        <w:types>
          <w:type w:val="bbPlcHdr"/>
        </w:types>
        <w:behaviors>
          <w:behavior w:val="content"/>
        </w:behaviors>
        <w:guid w:val="{25978B0D-0393-4EE0-8F8F-15F01BB3F52D}"/>
      </w:docPartPr>
      <w:docPartBody>
        <w:p w:rsidR="00000000" w:rsidRDefault="00E87A43"/>
      </w:docPartBody>
    </w:docPart>
    <w:docPart>
      <w:docPartPr>
        <w:name w:val="4DE399E6E454457988DD48FEADC0126C"/>
        <w:category>
          <w:name w:val="General"/>
          <w:gallery w:val="placeholder"/>
        </w:category>
        <w:types>
          <w:type w:val="bbPlcHdr"/>
        </w:types>
        <w:behaviors>
          <w:behavior w:val="content"/>
        </w:behaviors>
        <w:guid w:val="{7F8493E8-78AC-4692-90C5-B495712F898E}"/>
      </w:docPartPr>
      <w:docPartBody>
        <w:p w:rsidR="00000000" w:rsidRDefault="00E87A43"/>
      </w:docPartBody>
    </w:docPart>
    <w:docPart>
      <w:docPartPr>
        <w:name w:val="4B4E343729784BC39B2E4B9AA7590906"/>
        <w:category>
          <w:name w:val="General"/>
          <w:gallery w:val="placeholder"/>
        </w:category>
        <w:types>
          <w:type w:val="bbPlcHdr"/>
        </w:types>
        <w:behaviors>
          <w:behavior w:val="content"/>
        </w:behaviors>
        <w:guid w:val="{F05B0A28-427C-4FF2-A1DD-0E05CAC3B019}"/>
      </w:docPartPr>
      <w:docPartBody>
        <w:p w:rsidR="00000000" w:rsidRDefault="00E87A43"/>
      </w:docPartBody>
    </w:docPart>
    <w:docPart>
      <w:docPartPr>
        <w:name w:val="846B09A08F5B4F66801D54E82AF8C78F"/>
        <w:category>
          <w:name w:val="General"/>
          <w:gallery w:val="placeholder"/>
        </w:category>
        <w:types>
          <w:type w:val="bbPlcHdr"/>
        </w:types>
        <w:behaviors>
          <w:behavior w:val="content"/>
        </w:behaviors>
        <w:guid w:val="{0E2F5EDF-064F-4D80-9338-539A870193FF}"/>
      </w:docPartPr>
      <w:docPartBody>
        <w:p w:rsidR="00000000" w:rsidRDefault="00D60FC0" w:rsidP="00D60FC0">
          <w:pPr>
            <w:pStyle w:val="846B09A08F5B4F66801D54E82AF8C78F"/>
          </w:pPr>
          <w:r w:rsidRPr="00A30DD1">
            <w:rPr>
              <w:rStyle w:val="PlaceholderText"/>
            </w:rPr>
            <w:t>Click here to enter a date.</w:t>
          </w:r>
        </w:p>
      </w:docPartBody>
    </w:docPart>
    <w:docPart>
      <w:docPartPr>
        <w:name w:val="946B6ECC462B4C2D8861D26407DDD3D0"/>
        <w:category>
          <w:name w:val="General"/>
          <w:gallery w:val="placeholder"/>
        </w:category>
        <w:types>
          <w:type w:val="bbPlcHdr"/>
        </w:types>
        <w:behaviors>
          <w:behavior w:val="content"/>
        </w:behaviors>
        <w:guid w:val="{51FC527E-96BF-4AC7-B964-F9E5ACBC4B06}"/>
      </w:docPartPr>
      <w:docPartBody>
        <w:p w:rsidR="00000000" w:rsidRDefault="00E87A43"/>
      </w:docPartBody>
    </w:docPart>
    <w:docPart>
      <w:docPartPr>
        <w:name w:val="849E1DDB3DF94B9D8E983E23DAC3E06E"/>
        <w:category>
          <w:name w:val="General"/>
          <w:gallery w:val="placeholder"/>
        </w:category>
        <w:types>
          <w:type w:val="bbPlcHdr"/>
        </w:types>
        <w:behaviors>
          <w:behavior w:val="content"/>
        </w:behaviors>
        <w:guid w:val="{97458DC9-01A5-4F9B-8DDC-142A5C945319}"/>
      </w:docPartPr>
      <w:docPartBody>
        <w:p w:rsidR="00000000" w:rsidRDefault="00E87A43"/>
      </w:docPartBody>
    </w:docPart>
    <w:docPart>
      <w:docPartPr>
        <w:name w:val="A6612C5F7F6048CEA0694AC8CDE1DE81"/>
        <w:category>
          <w:name w:val="General"/>
          <w:gallery w:val="placeholder"/>
        </w:category>
        <w:types>
          <w:type w:val="bbPlcHdr"/>
        </w:types>
        <w:behaviors>
          <w:behavior w:val="content"/>
        </w:behaviors>
        <w:guid w:val="{694D4639-B5AF-4896-876F-27BCB771ABCD}"/>
      </w:docPartPr>
      <w:docPartBody>
        <w:p w:rsidR="00000000" w:rsidRDefault="00D60FC0" w:rsidP="00D60FC0">
          <w:pPr>
            <w:pStyle w:val="A6612C5F7F6048CEA0694AC8CDE1DE81"/>
          </w:pPr>
          <w:r>
            <w:rPr>
              <w:rFonts w:eastAsia="Times New Roman" w:cs="Times New Roman"/>
              <w:bCs/>
              <w:szCs w:val="24"/>
            </w:rPr>
            <w:t xml:space="preserve"> </w:t>
          </w:r>
        </w:p>
      </w:docPartBody>
    </w:docPart>
    <w:docPart>
      <w:docPartPr>
        <w:name w:val="0F360CE18FDB412895720B198547A280"/>
        <w:category>
          <w:name w:val="General"/>
          <w:gallery w:val="placeholder"/>
        </w:category>
        <w:types>
          <w:type w:val="bbPlcHdr"/>
        </w:types>
        <w:behaviors>
          <w:behavior w:val="content"/>
        </w:behaviors>
        <w:guid w:val="{26494F7A-AC6A-4BA1-924A-A846074EC8A6}"/>
      </w:docPartPr>
      <w:docPartBody>
        <w:p w:rsidR="00000000" w:rsidRDefault="00E87A43"/>
      </w:docPartBody>
    </w:docPart>
    <w:docPart>
      <w:docPartPr>
        <w:name w:val="3C85538722A145A8BE9317588EB95701"/>
        <w:category>
          <w:name w:val="General"/>
          <w:gallery w:val="placeholder"/>
        </w:category>
        <w:types>
          <w:type w:val="bbPlcHdr"/>
        </w:types>
        <w:behaviors>
          <w:behavior w:val="content"/>
        </w:behaviors>
        <w:guid w:val="{4AA3C90E-EA62-45F3-A275-7E525914BFCB}"/>
      </w:docPartPr>
      <w:docPartBody>
        <w:p w:rsidR="00000000" w:rsidRDefault="00E87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0FC0"/>
    <w:rsid w:val="00D63E87"/>
    <w:rsid w:val="00D705C9"/>
    <w:rsid w:val="00E11D0C"/>
    <w:rsid w:val="00E35A8C"/>
    <w:rsid w:val="00E65C8A"/>
    <w:rsid w:val="00E87A4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F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0FC0"/>
    <w:rPr>
      <w:rFonts w:ascii="Times New Roman" w:hAnsi="Times New Roman"/>
      <w:sz w:val="24"/>
    </w:rPr>
  </w:style>
  <w:style w:type="paragraph" w:customStyle="1" w:styleId="487D89B4F8B34DB4967D41FE18F7F88D9">
    <w:name w:val="487D89B4F8B34DB4967D41FE18F7F88D9"/>
    <w:rsid w:val="00D60FC0"/>
    <w:rPr>
      <w:rFonts w:ascii="Times New Roman" w:hAnsi="Times New Roman"/>
      <w:sz w:val="24"/>
    </w:rPr>
  </w:style>
  <w:style w:type="paragraph" w:customStyle="1" w:styleId="AE2570ED5D764CD7AF9686706F550F4622">
    <w:name w:val="AE2570ED5D764CD7AF9686706F550F4622"/>
    <w:rsid w:val="00D60FC0"/>
    <w:pPr>
      <w:tabs>
        <w:tab w:val="center" w:pos="4680"/>
        <w:tab w:val="right" w:pos="9360"/>
      </w:tabs>
      <w:spacing w:after="0" w:line="240" w:lineRule="auto"/>
    </w:pPr>
    <w:rPr>
      <w:rFonts w:ascii="Times New Roman" w:hAnsi="Times New Roman"/>
      <w:sz w:val="24"/>
    </w:rPr>
  </w:style>
  <w:style w:type="paragraph" w:customStyle="1" w:styleId="846B09A08F5B4F66801D54E82AF8C78F">
    <w:name w:val="846B09A08F5B4F66801D54E82AF8C78F"/>
    <w:rsid w:val="00D60FC0"/>
    <w:pPr>
      <w:spacing w:after="160" w:line="259" w:lineRule="auto"/>
    </w:pPr>
  </w:style>
  <w:style w:type="paragraph" w:customStyle="1" w:styleId="A6612C5F7F6048CEA0694AC8CDE1DE81">
    <w:name w:val="A6612C5F7F6048CEA0694AC8CDE1DE81"/>
    <w:rsid w:val="00D60F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7D8EC6-3DD7-4E9C-B78F-7F59C7C8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376</Words>
  <Characters>2145</Characters>
  <Application>Microsoft Office Word</Application>
  <DocSecurity>0</DocSecurity>
  <Lines>17</Lines>
  <Paragraphs>5</Paragraphs>
  <ScaleCrop>false</ScaleCrop>
  <Company>Texas Legislative Council</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2019-05-14T13:45:00Z</cp:lastPrinted>
  <dcterms:created xsi:type="dcterms:W3CDTF">2015-05-29T14:24:00Z</dcterms:created>
  <dcterms:modified xsi:type="dcterms:W3CDTF">2019-05-14T13:45:00Z</dcterms:modified>
</cp:coreProperties>
</file>

<file path=docProps/custom.xml><?xml version="1.0" encoding="utf-8"?>
<op:Properties xmlns:vt="http://schemas.openxmlformats.org/officeDocument/2006/docPropsVTypes" xmlns:op="http://schemas.openxmlformats.org/officeDocument/2006/custom-properties"/>
</file>