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2CF6" w:rsidTr="00345119">
        <w:tc>
          <w:tcPr>
            <w:tcW w:w="9576" w:type="dxa"/>
            <w:noWrap/>
          </w:tcPr>
          <w:p w:rsidR="008423E4" w:rsidRPr="0022177D" w:rsidRDefault="00C24AF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4AF6" w:rsidP="008423E4">
      <w:pPr>
        <w:jc w:val="center"/>
      </w:pPr>
    </w:p>
    <w:p w:rsidR="008423E4" w:rsidRPr="00B31F0E" w:rsidRDefault="00C24AF6" w:rsidP="008423E4"/>
    <w:p w:rsidR="008423E4" w:rsidRPr="00742794" w:rsidRDefault="00C24AF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2CF6" w:rsidTr="00345119">
        <w:tc>
          <w:tcPr>
            <w:tcW w:w="9576" w:type="dxa"/>
          </w:tcPr>
          <w:p w:rsidR="008423E4" w:rsidRPr="00861995" w:rsidRDefault="00C24AF6" w:rsidP="00345119">
            <w:pPr>
              <w:jc w:val="right"/>
            </w:pPr>
            <w:r>
              <w:t>C.S.H.B. 2576</w:t>
            </w:r>
          </w:p>
        </w:tc>
      </w:tr>
      <w:tr w:rsidR="00152CF6" w:rsidTr="00345119">
        <w:tc>
          <w:tcPr>
            <w:tcW w:w="9576" w:type="dxa"/>
          </w:tcPr>
          <w:p w:rsidR="008423E4" w:rsidRPr="00861995" w:rsidRDefault="00C24AF6" w:rsidP="001775F0">
            <w:pPr>
              <w:jc w:val="right"/>
            </w:pPr>
            <w:r>
              <w:t xml:space="preserve">By: </w:t>
            </w:r>
            <w:r>
              <w:t>Johnson, Jarvis</w:t>
            </w:r>
          </w:p>
        </w:tc>
      </w:tr>
      <w:tr w:rsidR="00152CF6" w:rsidTr="00345119">
        <w:tc>
          <w:tcPr>
            <w:tcW w:w="9576" w:type="dxa"/>
          </w:tcPr>
          <w:p w:rsidR="008423E4" w:rsidRPr="00861995" w:rsidRDefault="00C24AF6" w:rsidP="00345119">
            <w:pPr>
              <w:jc w:val="right"/>
            </w:pPr>
            <w:r>
              <w:t>Public Health</w:t>
            </w:r>
          </w:p>
        </w:tc>
      </w:tr>
      <w:tr w:rsidR="00152CF6" w:rsidTr="00345119">
        <w:tc>
          <w:tcPr>
            <w:tcW w:w="9576" w:type="dxa"/>
          </w:tcPr>
          <w:p w:rsidR="008423E4" w:rsidRDefault="00C24AF6" w:rsidP="003B2685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24AF6" w:rsidP="008423E4">
      <w:pPr>
        <w:tabs>
          <w:tab w:val="right" w:pos="9360"/>
        </w:tabs>
      </w:pPr>
    </w:p>
    <w:p w:rsidR="008423E4" w:rsidRDefault="00C24AF6" w:rsidP="008423E4"/>
    <w:p w:rsidR="008423E4" w:rsidRDefault="00C24AF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2CF6" w:rsidTr="00345119">
        <w:tc>
          <w:tcPr>
            <w:tcW w:w="9576" w:type="dxa"/>
          </w:tcPr>
          <w:p w:rsidR="008423E4" w:rsidRPr="00A8133F" w:rsidRDefault="00C24AF6" w:rsidP="00A458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4AF6" w:rsidP="00A4589B"/>
          <w:p w:rsidR="008423E4" w:rsidRDefault="00C24AF6" w:rsidP="00A458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96198">
              <w:t>It has been noted that</w:t>
            </w:r>
            <w:r>
              <w:t xml:space="preserve"> cancer patients and </w:t>
            </w:r>
            <w:r>
              <w:t xml:space="preserve">patients </w:t>
            </w:r>
            <w:r>
              <w:t xml:space="preserve">receiving hospice care are excepted from the requirement for </w:t>
            </w:r>
            <w:r>
              <w:t xml:space="preserve">prescribers and dispensers to access a patient's prescription history information before prescribing or dispensing certain controlled substances, but </w:t>
            </w:r>
            <w:r w:rsidRPr="00896198">
              <w:t xml:space="preserve">patients diagnosed with sickle cell </w:t>
            </w:r>
            <w:r>
              <w:t xml:space="preserve">anemia </w:t>
            </w:r>
            <w:r w:rsidRPr="00896198">
              <w:t xml:space="preserve">are not afforded the same </w:t>
            </w:r>
            <w:r>
              <w:t>exception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2576 </w:t>
            </w:r>
            <w:r>
              <w:t xml:space="preserve">seeks to </w:t>
            </w:r>
            <w:r>
              <w:t>pro</w:t>
            </w:r>
            <w:r>
              <w:t xml:space="preserve">vide the same protections to </w:t>
            </w:r>
            <w:r>
              <w:t xml:space="preserve">patients </w:t>
            </w:r>
            <w:r>
              <w:t xml:space="preserve">who are diagnosed with </w:t>
            </w:r>
            <w:r w:rsidRPr="00C723DB">
              <w:t>sickle cell anemia</w:t>
            </w:r>
            <w:r>
              <w:t xml:space="preserve"> in order to help them better manage pain caused by the disease</w:t>
            </w:r>
            <w:r>
              <w:t>.</w:t>
            </w:r>
          </w:p>
          <w:p w:rsidR="008423E4" w:rsidRPr="00E26B13" w:rsidRDefault="00C24AF6" w:rsidP="00A4589B">
            <w:pPr>
              <w:rPr>
                <w:b/>
              </w:rPr>
            </w:pPr>
          </w:p>
        </w:tc>
      </w:tr>
      <w:tr w:rsidR="00152CF6" w:rsidTr="00345119">
        <w:tc>
          <w:tcPr>
            <w:tcW w:w="9576" w:type="dxa"/>
          </w:tcPr>
          <w:p w:rsidR="0017725B" w:rsidRDefault="00C24AF6" w:rsidP="00A458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4AF6" w:rsidP="00A4589B">
            <w:pPr>
              <w:rPr>
                <w:b/>
                <w:u w:val="single"/>
              </w:rPr>
            </w:pPr>
          </w:p>
          <w:p w:rsidR="00205100" w:rsidRPr="00205100" w:rsidRDefault="00C24AF6" w:rsidP="00A4589B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24AF6" w:rsidP="00A4589B">
            <w:pPr>
              <w:rPr>
                <w:b/>
                <w:u w:val="single"/>
              </w:rPr>
            </w:pPr>
          </w:p>
        </w:tc>
      </w:tr>
      <w:tr w:rsidR="00152CF6" w:rsidTr="00345119">
        <w:tc>
          <w:tcPr>
            <w:tcW w:w="9576" w:type="dxa"/>
          </w:tcPr>
          <w:p w:rsidR="008423E4" w:rsidRPr="00A8133F" w:rsidRDefault="00C24AF6" w:rsidP="00A458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4AF6" w:rsidP="00A4589B"/>
          <w:p w:rsidR="00205100" w:rsidRDefault="00C24AF6" w:rsidP="00A458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C24AF6" w:rsidP="00A4589B">
            <w:pPr>
              <w:rPr>
                <w:b/>
              </w:rPr>
            </w:pPr>
          </w:p>
        </w:tc>
      </w:tr>
      <w:tr w:rsidR="00152CF6" w:rsidTr="00345119">
        <w:tc>
          <w:tcPr>
            <w:tcW w:w="9576" w:type="dxa"/>
          </w:tcPr>
          <w:p w:rsidR="008423E4" w:rsidRPr="00A8133F" w:rsidRDefault="00C24AF6" w:rsidP="00A458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4AF6" w:rsidP="00A4589B"/>
          <w:p w:rsidR="008423E4" w:rsidRDefault="00C24AF6" w:rsidP="00A458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2576 amend</w:t>
            </w:r>
            <w:r>
              <w:t xml:space="preserve">s the Health and Safety Code to </w:t>
            </w:r>
            <w:r>
              <w:t xml:space="preserve">exempt a prescriber from </w:t>
            </w:r>
            <w:r>
              <w:t xml:space="preserve">the requirement </w:t>
            </w:r>
            <w:r w:rsidRPr="00E61403">
              <w:t>to access prescription history</w:t>
            </w:r>
            <w:r w:rsidRPr="00E61403">
              <w:t xml:space="preserve"> information of a patient </w:t>
            </w:r>
            <w:r>
              <w:t xml:space="preserve">before prescribing </w:t>
            </w:r>
            <w:r>
              <w:t xml:space="preserve">or dispensing </w:t>
            </w:r>
            <w:r w:rsidRPr="004F5625">
              <w:t>opioids, benzodiazepines, barbiturates, or carisoprodol</w:t>
            </w:r>
            <w:r>
              <w:t xml:space="preserve"> </w:t>
            </w:r>
            <w:r>
              <w:t>if the patient has been diagnosed with sickle cell</w:t>
            </w:r>
            <w:r>
              <w:t xml:space="preserve"> disease </w:t>
            </w:r>
            <w:r>
              <w:t>and the prescriber clearly notes in the prescription record that the patient was d</w:t>
            </w:r>
            <w:r>
              <w:t xml:space="preserve">iagnosed with </w:t>
            </w:r>
            <w:r>
              <w:t>sickle cell</w:t>
            </w:r>
            <w:r>
              <w:t xml:space="preserve"> disease</w:t>
            </w:r>
            <w:r>
              <w:t xml:space="preserve">. The bill </w:t>
            </w:r>
            <w:r>
              <w:t>exempt</w:t>
            </w:r>
            <w:r>
              <w:t>s</w:t>
            </w:r>
            <w:r>
              <w:t xml:space="preserve"> a dispenser from </w:t>
            </w:r>
            <w:r>
              <w:t xml:space="preserve">the same </w:t>
            </w:r>
            <w:r>
              <w:t>requirement if it is</w:t>
            </w:r>
            <w:r>
              <w:t xml:space="preserve"> clearly</w:t>
            </w:r>
            <w:r>
              <w:t xml:space="preserve"> noted in the prescription record that the patient has been diagnosed with </w:t>
            </w:r>
            <w:r>
              <w:t>sickle cell</w:t>
            </w:r>
            <w:r>
              <w:t xml:space="preserve"> disease</w:t>
            </w:r>
            <w:r>
              <w:t xml:space="preserve">. </w:t>
            </w:r>
          </w:p>
          <w:p w:rsidR="008423E4" w:rsidRPr="00835628" w:rsidRDefault="00C24AF6" w:rsidP="00A4589B">
            <w:pPr>
              <w:rPr>
                <w:b/>
              </w:rPr>
            </w:pPr>
          </w:p>
        </w:tc>
      </w:tr>
      <w:tr w:rsidR="00152CF6" w:rsidTr="00345119">
        <w:tc>
          <w:tcPr>
            <w:tcW w:w="9576" w:type="dxa"/>
          </w:tcPr>
          <w:p w:rsidR="008423E4" w:rsidRPr="00A8133F" w:rsidRDefault="00C24AF6" w:rsidP="00A458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4AF6" w:rsidP="00A4589B"/>
          <w:p w:rsidR="008423E4" w:rsidRPr="003624F2" w:rsidRDefault="00C24AF6" w:rsidP="00A458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C24AF6" w:rsidP="00A4589B">
            <w:pPr>
              <w:rPr>
                <w:b/>
              </w:rPr>
            </w:pPr>
          </w:p>
        </w:tc>
      </w:tr>
      <w:tr w:rsidR="00152CF6" w:rsidTr="00345119">
        <w:tc>
          <w:tcPr>
            <w:tcW w:w="9576" w:type="dxa"/>
          </w:tcPr>
          <w:p w:rsidR="001775F0" w:rsidRDefault="00C24AF6" w:rsidP="00A4589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</w:t>
            </w:r>
            <w:r>
              <w:rPr>
                <w:b/>
                <w:u w:val="single"/>
              </w:rPr>
              <w:t>OF ORIGINAL AND SUBSTITUTE</w:t>
            </w:r>
          </w:p>
          <w:p w:rsidR="001A6EFB" w:rsidRDefault="00C24AF6" w:rsidP="00A4589B">
            <w:pPr>
              <w:jc w:val="both"/>
            </w:pPr>
          </w:p>
          <w:p w:rsidR="001A6EFB" w:rsidRDefault="00C24AF6" w:rsidP="00A4589B">
            <w:pPr>
              <w:jc w:val="both"/>
            </w:pPr>
            <w:r>
              <w:t>While C.S.H.B. 2576 may differ from the original in minor or nonsubstantive ways, the following summarizes the substantial differences between the introduced and committee substitute versions of the bill.</w:t>
            </w:r>
          </w:p>
          <w:p w:rsidR="001A6EFB" w:rsidRDefault="00C24AF6" w:rsidP="00A4589B">
            <w:pPr>
              <w:jc w:val="both"/>
            </w:pPr>
          </w:p>
          <w:p w:rsidR="001A6EFB" w:rsidRPr="001A6EFB" w:rsidRDefault="00C24AF6" w:rsidP="00A4589B">
            <w:pPr>
              <w:jc w:val="both"/>
            </w:pPr>
            <w:r>
              <w:t xml:space="preserve">The substitute changes </w:t>
            </w:r>
            <w:r>
              <w:t xml:space="preserve">the name of the diagnosis to which the bill applies </w:t>
            </w:r>
            <w:r>
              <w:t>from sickle cell anemia to sickle cell disease</w:t>
            </w:r>
            <w:r>
              <w:t>.</w:t>
            </w:r>
            <w:r>
              <w:t xml:space="preserve"> </w:t>
            </w:r>
          </w:p>
        </w:tc>
      </w:tr>
    </w:tbl>
    <w:p w:rsidR="008423E4" w:rsidRPr="00BE0E75" w:rsidRDefault="00C24AF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24AF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4AF6">
      <w:r>
        <w:separator/>
      </w:r>
    </w:p>
  </w:endnote>
  <w:endnote w:type="continuationSeparator" w:id="0">
    <w:p w:rsidR="00000000" w:rsidRDefault="00C2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2CF6" w:rsidTr="009C1E9A">
      <w:trPr>
        <w:cantSplit/>
      </w:trPr>
      <w:tc>
        <w:tcPr>
          <w:tcW w:w="0" w:type="pct"/>
        </w:tcPr>
        <w:p w:rsidR="00137D90" w:rsidRDefault="00C24A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4A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4A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4A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4A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2CF6" w:rsidTr="009C1E9A">
      <w:trPr>
        <w:cantSplit/>
      </w:trPr>
      <w:tc>
        <w:tcPr>
          <w:tcW w:w="0" w:type="pct"/>
        </w:tcPr>
        <w:p w:rsidR="00EC379B" w:rsidRDefault="00C24A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4A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26680</w:t>
          </w:r>
        </w:p>
      </w:tc>
      <w:tc>
        <w:tcPr>
          <w:tcW w:w="2453" w:type="pct"/>
        </w:tcPr>
        <w:p w:rsidR="00EC379B" w:rsidRDefault="00C24A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19.102.1302</w:t>
          </w:r>
          <w:r>
            <w:fldChar w:fldCharType="end"/>
          </w:r>
        </w:p>
      </w:tc>
    </w:tr>
    <w:tr w:rsidR="00152CF6" w:rsidTr="009C1E9A">
      <w:trPr>
        <w:cantSplit/>
      </w:trPr>
      <w:tc>
        <w:tcPr>
          <w:tcW w:w="0" w:type="pct"/>
        </w:tcPr>
        <w:p w:rsidR="00EC379B" w:rsidRDefault="00C24A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4A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23773</w:t>
          </w:r>
        </w:p>
      </w:tc>
      <w:tc>
        <w:tcPr>
          <w:tcW w:w="2453" w:type="pct"/>
        </w:tcPr>
        <w:p w:rsidR="00EC379B" w:rsidRDefault="00C24AF6" w:rsidP="006D504F">
          <w:pPr>
            <w:pStyle w:val="Footer"/>
            <w:rPr>
              <w:rStyle w:val="PageNumber"/>
            </w:rPr>
          </w:pPr>
        </w:p>
        <w:p w:rsidR="00EC379B" w:rsidRDefault="00C24A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2C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4A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24AF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4AF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4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4AF6">
      <w:r>
        <w:separator/>
      </w:r>
    </w:p>
  </w:footnote>
  <w:footnote w:type="continuationSeparator" w:id="0">
    <w:p w:rsidR="00000000" w:rsidRDefault="00C2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4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F6"/>
    <w:rsid w:val="00152CF6"/>
    <w:rsid w:val="00C2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69B27E-07C6-4F80-9281-D56B8CEA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51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5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51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5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100"/>
    <w:rPr>
      <w:b/>
      <w:bCs/>
    </w:rPr>
  </w:style>
  <w:style w:type="paragraph" w:styleId="Revision">
    <w:name w:val="Revision"/>
    <w:hidden/>
    <w:uiPriority w:val="99"/>
    <w:semiHidden/>
    <w:rsid w:val="001A6E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1786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HB02576 (Committee Report (Substituted))</vt:lpstr>
    </vt:vector>
  </TitlesOfParts>
  <Company>State of Texas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26680</dc:subject>
  <dc:creator>State of Texas</dc:creator>
  <dc:description>HB 2576 by Johnson, Jarvis-(H)Public Health (Substitute Document Number: 86R 23773)</dc:description>
  <cp:lastModifiedBy>Laura Ramsay</cp:lastModifiedBy>
  <cp:revision>2</cp:revision>
  <cp:lastPrinted>2003-11-26T17:21:00Z</cp:lastPrinted>
  <dcterms:created xsi:type="dcterms:W3CDTF">2019-04-16T00:54:00Z</dcterms:created>
  <dcterms:modified xsi:type="dcterms:W3CDTF">2019-04-16T00:54:00Z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19.102.1302</vt:lpwstr>
  </property>
</Properties>
</file>