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57F7" w:rsidTr="00345119">
        <w:tc>
          <w:tcPr>
            <w:tcW w:w="9576" w:type="dxa"/>
            <w:noWrap/>
          </w:tcPr>
          <w:p w:rsidR="008423E4" w:rsidRPr="0022177D" w:rsidRDefault="00E512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12C5" w:rsidP="008423E4">
      <w:pPr>
        <w:jc w:val="center"/>
      </w:pPr>
    </w:p>
    <w:p w:rsidR="008423E4" w:rsidRPr="00B31F0E" w:rsidRDefault="00E512C5" w:rsidP="008423E4"/>
    <w:p w:rsidR="008423E4" w:rsidRPr="00742794" w:rsidRDefault="00E512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57F7" w:rsidTr="00345119">
        <w:tc>
          <w:tcPr>
            <w:tcW w:w="9576" w:type="dxa"/>
          </w:tcPr>
          <w:p w:rsidR="008423E4" w:rsidRPr="00861995" w:rsidRDefault="00E512C5" w:rsidP="00345119">
            <w:pPr>
              <w:jc w:val="right"/>
            </w:pPr>
            <w:r>
              <w:t>C.S.H.B. 2585</w:t>
            </w:r>
          </w:p>
        </w:tc>
      </w:tr>
      <w:tr w:rsidR="000857F7" w:rsidTr="00345119">
        <w:tc>
          <w:tcPr>
            <w:tcW w:w="9576" w:type="dxa"/>
          </w:tcPr>
          <w:p w:rsidR="008423E4" w:rsidRPr="00861995" w:rsidRDefault="00E512C5" w:rsidP="004E6511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0857F7" w:rsidTr="00345119">
        <w:tc>
          <w:tcPr>
            <w:tcW w:w="9576" w:type="dxa"/>
          </w:tcPr>
          <w:p w:rsidR="008423E4" w:rsidRPr="00861995" w:rsidRDefault="00E512C5" w:rsidP="00345119">
            <w:pPr>
              <w:jc w:val="right"/>
            </w:pPr>
            <w:r>
              <w:t>State Affairs</w:t>
            </w:r>
          </w:p>
        </w:tc>
      </w:tr>
      <w:tr w:rsidR="000857F7" w:rsidTr="00345119">
        <w:tc>
          <w:tcPr>
            <w:tcW w:w="9576" w:type="dxa"/>
          </w:tcPr>
          <w:p w:rsidR="008423E4" w:rsidRDefault="00E512C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512C5" w:rsidP="008423E4">
      <w:pPr>
        <w:tabs>
          <w:tab w:val="right" w:pos="9360"/>
        </w:tabs>
      </w:pPr>
    </w:p>
    <w:p w:rsidR="008423E4" w:rsidRDefault="00E512C5" w:rsidP="008423E4"/>
    <w:p w:rsidR="008423E4" w:rsidRDefault="00E512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57F7" w:rsidTr="00345119">
        <w:tc>
          <w:tcPr>
            <w:tcW w:w="9576" w:type="dxa"/>
          </w:tcPr>
          <w:p w:rsidR="008423E4" w:rsidRPr="00A8133F" w:rsidRDefault="00E512C5" w:rsidP="000222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02220F" w:rsidRDefault="00E512C5" w:rsidP="0002220F">
            <w:pPr>
              <w:rPr>
                <w:sz w:val="22"/>
              </w:rPr>
            </w:pPr>
          </w:p>
          <w:p w:rsidR="008423E4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>
              <w:t xml:space="preserve">fairness and consistency of the process for establishing contractor qualifications in various </w:t>
            </w:r>
            <w:r>
              <w:t xml:space="preserve">procurement and project delivery methods for civil works projects. </w:t>
            </w:r>
            <w:r>
              <w:t>C.S.</w:t>
            </w:r>
            <w:r>
              <w:t xml:space="preserve">H.B. 2585 seeks to address these concerns by </w:t>
            </w:r>
            <w:r>
              <w:t xml:space="preserve">revising </w:t>
            </w:r>
            <w:r>
              <w:t xml:space="preserve">statutory </w:t>
            </w:r>
            <w:r>
              <w:t>provisions relating to contracting and delivery procedures</w:t>
            </w:r>
            <w:r>
              <w:t xml:space="preserve"> to ensure that the state </w:t>
            </w:r>
            <w:r>
              <w:t xml:space="preserve">and local government construction </w:t>
            </w:r>
            <w:r>
              <w:t>pur</w:t>
            </w:r>
            <w:r>
              <w:t>chasing process is fair, consistent, and transparent</w:t>
            </w:r>
            <w:r>
              <w:t>.</w:t>
            </w:r>
          </w:p>
          <w:p w:rsidR="008423E4" w:rsidRPr="0002220F" w:rsidRDefault="00E512C5" w:rsidP="0002220F">
            <w:pPr>
              <w:rPr>
                <w:b/>
                <w:sz w:val="22"/>
              </w:rPr>
            </w:pPr>
          </w:p>
        </w:tc>
      </w:tr>
      <w:tr w:rsidR="000857F7" w:rsidTr="00345119">
        <w:tc>
          <w:tcPr>
            <w:tcW w:w="9576" w:type="dxa"/>
          </w:tcPr>
          <w:p w:rsidR="0017725B" w:rsidRDefault="00E512C5" w:rsidP="000222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02220F" w:rsidRDefault="00E512C5" w:rsidP="0002220F">
            <w:pPr>
              <w:rPr>
                <w:b/>
                <w:sz w:val="22"/>
                <w:u w:val="single"/>
              </w:rPr>
            </w:pPr>
          </w:p>
          <w:p w:rsidR="005D1890" w:rsidRPr="005D1890" w:rsidRDefault="00E512C5" w:rsidP="0002220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02220F" w:rsidRDefault="00E512C5" w:rsidP="0002220F">
            <w:pPr>
              <w:rPr>
                <w:b/>
                <w:sz w:val="22"/>
                <w:u w:val="single"/>
              </w:rPr>
            </w:pPr>
          </w:p>
        </w:tc>
      </w:tr>
      <w:tr w:rsidR="000857F7" w:rsidTr="00345119">
        <w:tc>
          <w:tcPr>
            <w:tcW w:w="9576" w:type="dxa"/>
          </w:tcPr>
          <w:p w:rsidR="008423E4" w:rsidRPr="00A8133F" w:rsidRDefault="00E512C5" w:rsidP="000222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02220F" w:rsidRDefault="00E512C5" w:rsidP="0002220F">
            <w:pPr>
              <w:rPr>
                <w:sz w:val="22"/>
              </w:rPr>
            </w:pPr>
          </w:p>
          <w:p w:rsidR="005D1890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02220F" w:rsidRDefault="00E512C5" w:rsidP="0002220F">
            <w:pPr>
              <w:rPr>
                <w:b/>
                <w:sz w:val="22"/>
              </w:rPr>
            </w:pPr>
          </w:p>
        </w:tc>
      </w:tr>
      <w:tr w:rsidR="000857F7" w:rsidTr="00345119">
        <w:tc>
          <w:tcPr>
            <w:tcW w:w="9576" w:type="dxa"/>
          </w:tcPr>
          <w:p w:rsidR="008423E4" w:rsidRPr="00A8133F" w:rsidRDefault="00E512C5" w:rsidP="000222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02220F" w:rsidRDefault="00E512C5" w:rsidP="0002220F">
            <w:pPr>
              <w:rPr>
                <w:sz w:val="22"/>
              </w:rPr>
            </w:pPr>
          </w:p>
          <w:p w:rsidR="004E41A8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2585 amends the Government Code to </w:t>
            </w:r>
            <w:r>
              <w:t xml:space="preserve">authorize a governmental entity to implement a </w:t>
            </w:r>
            <w:r w:rsidRPr="00A6408E">
              <w:t xml:space="preserve">prequalification process to eliminate unqualified offerors from </w:t>
            </w:r>
            <w:r w:rsidRPr="00846C59">
              <w:t xml:space="preserve">and prequalify potential offerors meeting minimum standards for </w:t>
            </w:r>
            <w:r w:rsidRPr="00A6408E">
              <w:t>consideration for a civil works project under a</w:t>
            </w:r>
            <w:r>
              <w:t>n authorized</w:t>
            </w:r>
            <w:r w:rsidRPr="00A6408E">
              <w:t xml:space="preserve"> competitive bidding method</w:t>
            </w:r>
            <w:r>
              <w:t xml:space="preserve">. The bill requires </w:t>
            </w:r>
            <w:r>
              <w:t>the</w:t>
            </w:r>
            <w:r>
              <w:t xml:space="preserve"> entity to advertise or publish notice of the </w:t>
            </w:r>
            <w:r w:rsidRPr="0084072F">
              <w:t>process along with a request for qual</w:t>
            </w:r>
            <w:r w:rsidRPr="0084072F">
              <w:t>ifications 30 days before the invitation for bids is issued in a manner prescribed by law</w:t>
            </w:r>
            <w:r>
              <w:t xml:space="preserve"> and</w:t>
            </w:r>
            <w:r>
              <w:t xml:space="preserve"> authorizes the entity to directly solicit qualifications from potential offerors if </w:t>
            </w:r>
            <w:r>
              <w:t xml:space="preserve">applicable state </w:t>
            </w:r>
            <w:r>
              <w:t xml:space="preserve">competitive </w:t>
            </w:r>
            <w:r>
              <w:t xml:space="preserve">bidding </w:t>
            </w:r>
            <w:r>
              <w:t xml:space="preserve">requirements are followed. </w:t>
            </w:r>
            <w:r>
              <w:t>The bill estab</w:t>
            </w:r>
            <w:r>
              <w:t xml:space="preserve">lishes that the </w:t>
            </w:r>
            <w:r w:rsidRPr="00846C59">
              <w:t>implementation of a prequalification process does not affect a governmental entity</w:t>
            </w:r>
            <w:r>
              <w:t>'s</w:t>
            </w:r>
            <w:r w:rsidRPr="00846C59">
              <w:t xml:space="preserve"> authority to determine the responsiveness of any subsequent bid or to reject any and all bids.</w:t>
            </w:r>
            <w:r>
              <w:t xml:space="preserve"> </w:t>
            </w:r>
          </w:p>
          <w:p w:rsidR="004E41A8" w:rsidRPr="0002220F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E41A8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2585</w:t>
            </w:r>
            <w:r>
              <w:t xml:space="preserve"> requires a </w:t>
            </w:r>
            <w:r>
              <w:t xml:space="preserve">governmental </w:t>
            </w:r>
            <w:r>
              <w:t>entity that consider</w:t>
            </w:r>
            <w:r>
              <w:t>s a civil works contract using competitive bidding</w:t>
            </w:r>
            <w:r>
              <w:t>, in the implementation of a prequalification process,</w:t>
            </w:r>
            <w:r>
              <w:t xml:space="preserve"> to </w:t>
            </w:r>
            <w:r w:rsidRPr="00B4430B">
              <w:t>establish minimum qualification requirements for potential offerors and a scoring process with a final pass or fail determination to identify qualif</w:t>
            </w:r>
            <w:r w:rsidRPr="00B4430B">
              <w:t>ied potential offerors who may submit competitive bids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prohibits </w:t>
            </w:r>
            <w:r>
              <w:t>the</w:t>
            </w:r>
            <w:r>
              <w:t xml:space="preserve"> entity </w:t>
            </w:r>
            <w:r>
              <w:t xml:space="preserve">from </w:t>
            </w:r>
            <w:r>
              <w:t xml:space="preserve">short-listing or </w:t>
            </w:r>
            <w:r>
              <w:t>ranking potential offerors</w:t>
            </w:r>
            <w:r>
              <w:t xml:space="preserve"> or </w:t>
            </w:r>
            <w:r>
              <w:t xml:space="preserve">from </w:t>
            </w:r>
            <w:r>
              <w:t xml:space="preserve">combining </w:t>
            </w:r>
            <w:r w:rsidRPr="00B4430B">
              <w:t>qualification scores with competitive bids in considering the award of a contract</w:t>
            </w:r>
            <w:r>
              <w:t xml:space="preserve"> </w:t>
            </w:r>
            <w:r>
              <w:t xml:space="preserve">in implementing </w:t>
            </w:r>
            <w:r>
              <w:t>that</w:t>
            </w:r>
            <w:r>
              <w:t xml:space="preserve"> </w:t>
            </w:r>
            <w:r w:rsidRPr="00B4430B">
              <w:t>process</w:t>
            </w:r>
            <w:r>
              <w:t xml:space="preserve">. </w:t>
            </w:r>
            <w:r>
              <w:t xml:space="preserve">The bill </w:t>
            </w:r>
            <w:r>
              <w:t xml:space="preserve">sets out the factors </w:t>
            </w:r>
            <w:r>
              <w:t>the</w:t>
            </w:r>
            <w:r>
              <w:t xml:space="preserve"> entity </w:t>
            </w:r>
            <w:r>
              <w:t>may</w:t>
            </w:r>
            <w:r>
              <w:t xml:space="preserve"> consider during the prequalification process. </w:t>
            </w:r>
          </w:p>
          <w:p w:rsidR="004E41A8" w:rsidRPr="0002220F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62FEC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2585</w:t>
            </w:r>
            <w:r>
              <w:t xml:space="preserve"> </w:t>
            </w:r>
            <w:r>
              <w:t xml:space="preserve">requires a potential offeror that has been involved in litigation or arbitration </w:t>
            </w:r>
            <w:r w:rsidRPr="004D5E91">
              <w:t>with a governmental entity related to a construction projec</w:t>
            </w:r>
            <w:r w:rsidRPr="004D5E91">
              <w:t>t during the preceding five years</w:t>
            </w:r>
            <w:r>
              <w:t xml:space="preserve"> to provide to the entity the name of the parties involved and a brief description of the nature and outcome of</w:t>
            </w:r>
            <w:r>
              <w:t xml:space="preserve"> the litigation or arbitration. The bill </w:t>
            </w:r>
            <w:r w:rsidRPr="00F62FEC">
              <w:t>authorizes a governmental entity</w:t>
            </w:r>
            <w:r>
              <w:t xml:space="preserve"> to use the prequalification process fo</w:t>
            </w:r>
            <w:r>
              <w:t>r civil works projects</w:t>
            </w:r>
            <w:r w:rsidRPr="00F62FEC">
              <w:t xml:space="preserve"> before preparing a request for competitive bids</w:t>
            </w:r>
            <w:r>
              <w:t>.</w:t>
            </w:r>
          </w:p>
          <w:p w:rsidR="00DA0B88" w:rsidRPr="0002220F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0B6955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2585 requires a governmental entity </w:t>
            </w:r>
            <w:r>
              <w:t xml:space="preserve">to publish in its request for proposals or qualifications for a construction contract using a method other than competitive bidding </w:t>
            </w:r>
            <w:r>
              <w:t xml:space="preserve">a </w:t>
            </w:r>
            <w:r w:rsidRPr="000B6955">
              <w:t>deta</w:t>
            </w:r>
            <w:r w:rsidRPr="000B6955">
              <w:t xml:space="preserve">iled methodology for scoring each </w:t>
            </w:r>
            <w:r>
              <w:t xml:space="preserve">applicable </w:t>
            </w:r>
            <w:r w:rsidRPr="000B6955">
              <w:t>criterion</w:t>
            </w:r>
            <w:r>
              <w:t xml:space="preserve"> </w:t>
            </w:r>
            <w:r>
              <w:t>used to select among offerors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authorizes an offeror who submits a bid, proposal, or response to a request for qualifications for a </w:t>
            </w:r>
            <w:r>
              <w:t xml:space="preserve">government </w:t>
            </w:r>
            <w:r>
              <w:t>construction contract to</w:t>
            </w:r>
            <w:r>
              <w:t xml:space="preserve"> make a written request t</w:t>
            </w:r>
            <w:r>
              <w:t>o the governmental entity</w:t>
            </w:r>
            <w:r>
              <w:t xml:space="preserve"> after the contract is awarded to provide </w:t>
            </w:r>
            <w:r>
              <w:t>documents related to the</w:t>
            </w:r>
            <w:r>
              <w:t xml:space="preserve"> evaluation of the offeror's submission. </w:t>
            </w:r>
            <w:r>
              <w:t xml:space="preserve">The bill requires the entity, not later than the 30th day after the date </w:t>
            </w:r>
            <w:r>
              <w:t>the</w:t>
            </w:r>
            <w:r>
              <w:t xml:space="preserve"> request is made, to deliver to the offeror </w:t>
            </w:r>
            <w:r>
              <w:t xml:space="preserve">the </w:t>
            </w:r>
            <w:r>
              <w:t>documents relating to the</w:t>
            </w:r>
            <w:r>
              <w:t xml:space="preserve"> evaluation of the submission including, if applicable, its ranking of the submission. </w:t>
            </w:r>
          </w:p>
          <w:p w:rsidR="00F62FEC" w:rsidRPr="0002220F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61003C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2585 </w:t>
            </w:r>
            <w:r w:rsidRPr="0061003C">
              <w:t>requires the weighted</w:t>
            </w:r>
            <w:r>
              <w:t xml:space="preserve"> value assigned to price </w:t>
            </w:r>
            <w:r>
              <w:t xml:space="preserve">for a civil works project </w:t>
            </w:r>
            <w:r>
              <w:t xml:space="preserve">included in a governmental entity's request for competitive sealed proposals to be </w:t>
            </w:r>
            <w:r w:rsidRPr="007F7F72">
              <w:t>at least 50 percent of the total weighted value of all selection criteria.</w:t>
            </w:r>
            <w:r>
              <w:t xml:space="preserve"> The bill authorizes </w:t>
            </w:r>
            <w:r>
              <w:t>a</w:t>
            </w:r>
            <w:r>
              <w:t xml:space="preserve"> governing </w:t>
            </w:r>
            <w:r>
              <w:t xml:space="preserve">body </w:t>
            </w:r>
            <w:r>
              <w:t>that</w:t>
            </w:r>
            <w:r>
              <w:t xml:space="preserve"> determines that assigning a lower weighted value to pric</w:t>
            </w:r>
            <w:r>
              <w:t>e is in the public interest</w:t>
            </w:r>
            <w:r>
              <w:t xml:space="preserve"> to </w:t>
            </w:r>
            <w:r w:rsidRPr="00FA14ED">
              <w:t>assign to price a weighted value of not less than 40 percent of the total weighted value of all selection criteria.</w:t>
            </w:r>
            <w:r>
              <w:t xml:space="preserve"> The bill requires </w:t>
            </w:r>
            <w:r>
              <w:t xml:space="preserve">a governmental </w:t>
            </w:r>
            <w:r>
              <w:t>entity</w:t>
            </w:r>
            <w:r>
              <w:t xml:space="preserve"> selecting an offeror using a competitive sealed proposal method</w:t>
            </w:r>
            <w:r>
              <w:t xml:space="preserve">, not </w:t>
            </w:r>
            <w:r>
              <w:t>later than the seventh business day after the date the construction contract is awarded,</w:t>
            </w:r>
            <w:r>
              <w:t xml:space="preserve"> </w:t>
            </w:r>
            <w:r>
              <w:t xml:space="preserve">to </w:t>
            </w:r>
            <w:r>
              <w:t>make the evaluations</w:t>
            </w:r>
            <w:r>
              <w:t>, including any scores,</w:t>
            </w:r>
            <w:r>
              <w:t xml:space="preserve"> public</w:t>
            </w:r>
            <w:r>
              <w:t xml:space="preserve"> and to provide them to all offerors</w:t>
            </w:r>
            <w:r>
              <w:t xml:space="preserve">. </w:t>
            </w:r>
          </w:p>
          <w:p w:rsidR="009670C4" w:rsidRPr="0002220F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62FEC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2585 </w:t>
            </w:r>
            <w:r>
              <w:t xml:space="preserve">establishes that </w:t>
            </w:r>
            <w:r>
              <w:t>the filing deadline for an action for decla</w:t>
            </w:r>
            <w:r>
              <w:t xml:space="preserve">ratory or injunctive relief for the enforcement of applicable state law governing contracting and delivery procedures for construction projects </w:t>
            </w:r>
            <w:r>
              <w:t xml:space="preserve">is </w:t>
            </w:r>
            <w:r>
              <w:t>the 1</w:t>
            </w:r>
            <w:r>
              <w:t>5</w:t>
            </w:r>
            <w:r>
              <w:t xml:space="preserve">th </w:t>
            </w:r>
            <w:r>
              <w:t xml:space="preserve">calendar </w:t>
            </w:r>
            <w:r>
              <w:t xml:space="preserve">day </w:t>
            </w:r>
            <w:r>
              <w:t xml:space="preserve">after </w:t>
            </w:r>
            <w:r>
              <w:t>the date on which a contract is awarded</w:t>
            </w:r>
            <w:r>
              <w:t>.</w:t>
            </w:r>
            <w:r>
              <w:t xml:space="preserve">   </w:t>
            </w:r>
          </w:p>
          <w:p w:rsidR="008423E4" w:rsidRPr="0002220F" w:rsidRDefault="00E512C5" w:rsidP="0002220F">
            <w:pPr>
              <w:rPr>
                <w:b/>
                <w:sz w:val="22"/>
              </w:rPr>
            </w:pPr>
          </w:p>
        </w:tc>
      </w:tr>
      <w:tr w:rsidR="000857F7" w:rsidTr="00345119">
        <w:tc>
          <w:tcPr>
            <w:tcW w:w="9576" w:type="dxa"/>
          </w:tcPr>
          <w:p w:rsidR="008423E4" w:rsidRPr="00A8133F" w:rsidRDefault="00E512C5" w:rsidP="000222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02220F" w:rsidRDefault="00E512C5" w:rsidP="0002220F">
            <w:pPr>
              <w:rPr>
                <w:sz w:val="22"/>
              </w:rPr>
            </w:pPr>
          </w:p>
          <w:p w:rsidR="008423E4" w:rsidRPr="003624F2" w:rsidRDefault="00E512C5" w:rsidP="00022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  <w:r>
              <w:t xml:space="preserve"> </w:t>
            </w:r>
          </w:p>
          <w:p w:rsidR="008423E4" w:rsidRPr="0002220F" w:rsidRDefault="00E512C5" w:rsidP="0002220F">
            <w:pPr>
              <w:rPr>
                <w:b/>
                <w:sz w:val="22"/>
              </w:rPr>
            </w:pPr>
          </w:p>
        </w:tc>
      </w:tr>
      <w:tr w:rsidR="000857F7" w:rsidTr="00345119">
        <w:tc>
          <w:tcPr>
            <w:tcW w:w="9576" w:type="dxa"/>
          </w:tcPr>
          <w:p w:rsidR="004E6511" w:rsidRDefault="00E512C5" w:rsidP="004E65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A14ED" w:rsidRDefault="00E512C5" w:rsidP="004E6511">
            <w:pPr>
              <w:jc w:val="both"/>
              <w:rPr>
                <w:b/>
                <w:u w:val="single"/>
              </w:rPr>
            </w:pPr>
          </w:p>
          <w:p w:rsidR="00F93253" w:rsidRDefault="00E512C5" w:rsidP="00F93253">
            <w:pPr>
              <w:jc w:val="both"/>
            </w:pPr>
            <w:r>
              <w:t>While C.S.H.B. 2585 may differ from the original in minor or nonsubstantive ways, the following summarizes the substantial differences between the introduced and committee substitute versions of the bill.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Default="00E512C5" w:rsidP="00F93253">
            <w:pPr>
              <w:jc w:val="both"/>
            </w:pPr>
            <w:r>
              <w:t>The substitute includes a provision authorizing the prequalification process to prequalify potential offers that meet minimum standards.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Default="00E512C5" w:rsidP="00F93253">
            <w:pPr>
              <w:jc w:val="both"/>
            </w:pPr>
            <w:r>
              <w:t>The substitute includes a provision establishing that the implementation of the prequalification process does not affe</w:t>
            </w:r>
            <w:r>
              <w:t>ct the authority of the applicable governmental entity to determine the responsiveness of any subsequent bid or to reject any and all bids.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Default="00E512C5" w:rsidP="00F93253">
            <w:pPr>
              <w:jc w:val="both"/>
            </w:pPr>
            <w:r>
              <w:t>The substitute revises the provision setting out certain required and prohibited actions of a governmental entity c</w:t>
            </w:r>
            <w:r>
              <w:t>onsidering a contract using competitive bidding when implementing a prequalification process to:</w:t>
            </w:r>
          </w:p>
          <w:p w:rsidR="00F93253" w:rsidRDefault="00E512C5" w:rsidP="00F9325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prohibit the entity from short-listing or combining qualification scores; and</w:t>
            </w:r>
          </w:p>
          <w:p w:rsidR="00F93253" w:rsidRDefault="00E512C5" w:rsidP="00F932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require the entity to establish minimum qualification requirements and a certain </w:t>
            </w:r>
            <w:r>
              <w:t>scoring process to identify potential offerors who may submit competitive bids.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Default="00E512C5" w:rsidP="00F93253">
            <w:pPr>
              <w:jc w:val="both"/>
            </w:pPr>
            <w:r>
              <w:t>The substitute revises the factors that may be considered during the prequalification process.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Default="00E512C5" w:rsidP="00F93253">
            <w:pPr>
              <w:jc w:val="both"/>
            </w:pPr>
            <w:r>
              <w:t>The substitute includes a provision authorizing a governing body to assign a ce</w:t>
            </w:r>
            <w:r>
              <w:t xml:space="preserve">rtain lower weighted value to price for civil works projects if the </w:t>
            </w:r>
            <w:r w:rsidRPr="00FA14ED">
              <w:t>governing</w:t>
            </w:r>
            <w:r>
              <w:t xml:space="preserve"> body determines that doing so is in the public interest.  </w:t>
            </w:r>
          </w:p>
          <w:p w:rsidR="00F93253" w:rsidRPr="0002220F" w:rsidRDefault="00E512C5" w:rsidP="00F93253">
            <w:pPr>
              <w:jc w:val="both"/>
              <w:rPr>
                <w:sz w:val="22"/>
              </w:rPr>
            </w:pPr>
          </w:p>
          <w:p w:rsidR="00F93253" w:rsidRPr="004E6511" w:rsidRDefault="00E512C5" w:rsidP="00F93253">
            <w:pPr>
              <w:jc w:val="both"/>
              <w:rPr>
                <w:b/>
                <w:u w:val="single"/>
              </w:rPr>
            </w:pPr>
            <w:r>
              <w:t>The substitute revises the information made public and provided to potential offerors regarding the bidding process an</w:t>
            </w:r>
            <w:r>
              <w:t>d establishes that a deadline is calculated using calendar days.</w:t>
            </w:r>
          </w:p>
        </w:tc>
      </w:tr>
    </w:tbl>
    <w:p w:rsidR="004108C3" w:rsidRPr="0002220F" w:rsidRDefault="00E512C5" w:rsidP="008423E4">
      <w:pPr>
        <w:rPr>
          <w:sz w:val="8"/>
        </w:rPr>
      </w:pPr>
    </w:p>
    <w:sectPr w:rsidR="004108C3" w:rsidRPr="0002220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2C5">
      <w:r>
        <w:separator/>
      </w:r>
    </w:p>
  </w:endnote>
  <w:endnote w:type="continuationSeparator" w:id="0">
    <w:p w:rsidR="00000000" w:rsidRDefault="00E5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36" w:rsidRDefault="00E51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57F7" w:rsidTr="009C1E9A">
      <w:trPr>
        <w:cantSplit/>
      </w:trPr>
      <w:tc>
        <w:tcPr>
          <w:tcW w:w="0" w:type="pct"/>
        </w:tcPr>
        <w:p w:rsidR="00137D90" w:rsidRDefault="00E51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12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12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1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1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7F7" w:rsidTr="009C1E9A">
      <w:trPr>
        <w:cantSplit/>
      </w:trPr>
      <w:tc>
        <w:tcPr>
          <w:tcW w:w="0" w:type="pct"/>
        </w:tcPr>
        <w:p w:rsidR="00EC379B" w:rsidRDefault="00E51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12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26306</w:t>
          </w:r>
        </w:p>
      </w:tc>
      <w:tc>
        <w:tcPr>
          <w:tcW w:w="2453" w:type="pct"/>
        </w:tcPr>
        <w:p w:rsidR="00EC379B" w:rsidRDefault="00E51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19.100.708</w:t>
          </w:r>
          <w:r>
            <w:fldChar w:fldCharType="end"/>
          </w:r>
        </w:p>
      </w:tc>
    </w:tr>
    <w:tr w:rsidR="000857F7" w:rsidTr="009C1E9A">
      <w:trPr>
        <w:cantSplit/>
      </w:trPr>
      <w:tc>
        <w:tcPr>
          <w:tcW w:w="0" w:type="pct"/>
        </w:tcPr>
        <w:p w:rsidR="00EC379B" w:rsidRDefault="00E512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12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21339</w:t>
          </w:r>
        </w:p>
      </w:tc>
      <w:tc>
        <w:tcPr>
          <w:tcW w:w="2453" w:type="pct"/>
        </w:tcPr>
        <w:p w:rsidR="00EC379B" w:rsidRDefault="00E512C5" w:rsidP="006D504F">
          <w:pPr>
            <w:pStyle w:val="Footer"/>
            <w:rPr>
              <w:rStyle w:val="PageNumber"/>
            </w:rPr>
          </w:pPr>
        </w:p>
        <w:p w:rsidR="00EC379B" w:rsidRDefault="00E51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7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12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512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12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36" w:rsidRDefault="00E5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2C5">
      <w:r>
        <w:separator/>
      </w:r>
    </w:p>
  </w:footnote>
  <w:footnote w:type="continuationSeparator" w:id="0">
    <w:p w:rsidR="00000000" w:rsidRDefault="00E5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36" w:rsidRDefault="00E51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36" w:rsidRDefault="00E51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36" w:rsidRDefault="00E51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2AF4"/>
    <w:multiLevelType w:val="hybridMultilevel"/>
    <w:tmpl w:val="079A1EC8"/>
    <w:lvl w:ilvl="0" w:tplc="8EDA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A3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49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82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20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E5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6F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E2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F7"/>
    <w:rsid w:val="000857F7"/>
    <w:rsid w:val="00E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587F3-4047-4633-8810-F7B0E12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0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0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0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0B88"/>
    <w:rPr>
      <w:b/>
      <w:bCs/>
    </w:rPr>
  </w:style>
  <w:style w:type="paragraph" w:styleId="ListParagraph">
    <w:name w:val="List Paragraph"/>
    <w:basedOn w:val="Normal"/>
    <w:uiPriority w:val="34"/>
    <w:qFormat/>
    <w:rsid w:val="00A3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5579</Characters>
  <Application>Microsoft Office Word</Application>
  <DocSecurity>4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HB02585 (Committee Report (Substituted))</vt:lpstr>
    </vt:vector>
  </TitlesOfParts>
  <Company>State of Texas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26306</dc:subject>
  <dc:creator>State of Texas</dc:creator>
  <dc:description>HB 2585 by Leach-(H)State Affairs (Substitute Document Number: 86R 21339)</dc:description>
  <cp:lastModifiedBy>Stacey Nicchio</cp:lastModifiedBy>
  <cp:revision>2</cp:revision>
  <cp:lastPrinted>2003-11-26T17:21:00Z</cp:lastPrinted>
  <dcterms:created xsi:type="dcterms:W3CDTF">2019-04-12T00:23:00Z</dcterms:created>
  <dcterms:modified xsi:type="dcterms:W3CDTF">2019-04-12T00:23:00Z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19.100.708</vt:lpwstr>
  </property>
</Properties>
</file>