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2C" w:rsidRDefault="003562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7059420843411FAD85CBC231FF047D"/>
          </w:placeholder>
        </w:sdtPr>
        <w:sdtContent>
          <w:r w:rsidRPr="005C2A78">
            <w:rPr>
              <w:rFonts w:cs="Times New Roman"/>
              <w:b/>
              <w:szCs w:val="24"/>
              <w:u w:val="single"/>
            </w:rPr>
            <w:t>BILL ANALYSIS</w:t>
          </w:r>
        </w:sdtContent>
      </w:sdt>
    </w:p>
    <w:p w:rsidR="0035622C" w:rsidRPr="00585C31" w:rsidRDefault="0035622C" w:rsidP="000F1DF9">
      <w:pPr>
        <w:spacing w:after="0" w:line="240" w:lineRule="auto"/>
        <w:rPr>
          <w:rFonts w:cs="Times New Roman"/>
          <w:szCs w:val="24"/>
        </w:rPr>
      </w:pPr>
    </w:p>
    <w:p w:rsidR="0035622C" w:rsidRPr="00585C31" w:rsidRDefault="003562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622C" w:rsidTr="000F1DF9">
        <w:tc>
          <w:tcPr>
            <w:tcW w:w="2718" w:type="dxa"/>
          </w:tcPr>
          <w:p w:rsidR="0035622C" w:rsidRPr="005C2A78" w:rsidRDefault="0035622C" w:rsidP="006D756B">
            <w:pPr>
              <w:rPr>
                <w:rFonts w:cs="Times New Roman"/>
                <w:szCs w:val="24"/>
              </w:rPr>
            </w:pPr>
            <w:sdt>
              <w:sdtPr>
                <w:rPr>
                  <w:rFonts w:cs="Times New Roman"/>
                  <w:szCs w:val="24"/>
                </w:rPr>
                <w:alias w:val="Agency Title"/>
                <w:tag w:val="AgencyTitleContentControl"/>
                <w:id w:val="1920747753"/>
                <w:lock w:val="sdtContentLocked"/>
                <w:placeholder>
                  <w:docPart w:val="3ABDBA236FE6477F99907CF766A54BF7"/>
                </w:placeholder>
              </w:sdtPr>
              <w:sdtEndPr>
                <w:rPr>
                  <w:rFonts w:cstheme="minorBidi"/>
                  <w:szCs w:val="22"/>
                </w:rPr>
              </w:sdtEndPr>
              <w:sdtContent>
                <w:r>
                  <w:rPr>
                    <w:rFonts w:cs="Times New Roman"/>
                    <w:szCs w:val="24"/>
                  </w:rPr>
                  <w:t>Senate Research Center</w:t>
                </w:r>
              </w:sdtContent>
            </w:sdt>
          </w:p>
        </w:tc>
        <w:tc>
          <w:tcPr>
            <w:tcW w:w="6858" w:type="dxa"/>
          </w:tcPr>
          <w:p w:rsidR="0035622C" w:rsidRPr="00FF6471" w:rsidRDefault="0035622C" w:rsidP="000F1DF9">
            <w:pPr>
              <w:jc w:val="right"/>
              <w:rPr>
                <w:rFonts w:cs="Times New Roman"/>
                <w:szCs w:val="24"/>
              </w:rPr>
            </w:pPr>
            <w:sdt>
              <w:sdtPr>
                <w:rPr>
                  <w:rFonts w:cs="Times New Roman"/>
                  <w:szCs w:val="24"/>
                </w:rPr>
                <w:alias w:val="Bill Number"/>
                <w:tag w:val="BillNumberOne"/>
                <w:id w:val="-410784069"/>
                <w:lock w:val="sdtContentLocked"/>
                <w:placeholder>
                  <w:docPart w:val="1A805E34906F4C8F89DD4D216D92E2A1"/>
                </w:placeholder>
              </w:sdtPr>
              <w:sdtContent>
                <w:r>
                  <w:rPr>
                    <w:rFonts w:cs="Times New Roman"/>
                    <w:szCs w:val="24"/>
                  </w:rPr>
                  <w:t>H.B. 2586</w:t>
                </w:r>
              </w:sdtContent>
            </w:sdt>
          </w:p>
        </w:tc>
      </w:tr>
      <w:tr w:rsidR="0035622C" w:rsidTr="000F1DF9">
        <w:sdt>
          <w:sdtPr>
            <w:rPr>
              <w:rFonts w:cs="Times New Roman"/>
              <w:szCs w:val="24"/>
            </w:rPr>
            <w:alias w:val="TLCNumber"/>
            <w:tag w:val="TLCNumber"/>
            <w:id w:val="-542600604"/>
            <w:lock w:val="sdtLocked"/>
            <w:placeholder>
              <w:docPart w:val="AB0987A1A7274EE0834AE12FF66FDD7C"/>
            </w:placeholder>
          </w:sdtPr>
          <w:sdtContent>
            <w:tc>
              <w:tcPr>
                <w:tcW w:w="2718" w:type="dxa"/>
              </w:tcPr>
              <w:p w:rsidR="0035622C" w:rsidRPr="000F1DF9" w:rsidRDefault="0035622C" w:rsidP="00C65088">
                <w:pPr>
                  <w:rPr>
                    <w:rFonts w:cs="Times New Roman"/>
                    <w:szCs w:val="24"/>
                  </w:rPr>
                </w:pPr>
                <w:r>
                  <w:rPr>
                    <w:rFonts w:cs="Times New Roman"/>
                    <w:szCs w:val="24"/>
                  </w:rPr>
                  <w:t>86R25102 ATP-F</w:t>
                </w:r>
              </w:p>
            </w:tc>
          </w:sdtContent>
        </w:sdt>
        <w:tc>
          <w:tcPr>
            <w:tcW w:w="6858" w:type="dxa"/>
          </w:tcPr>
          <w:p w:rsidR="0035622C" w:rsidRPr="005C2A78" w:rsidRDefault="0035622C" w:rsidP="006D756B">
            <w:pPr>
              <w:jc w:val="right"/>
              <w:rPr>
                <w:rFonts w:cs="Times New Roman"/>
                <w:szCs w:val="24"/>
              </w:rPr>
            </w:pPr>
            <w:sdt>
              <w:sdtPr>
                <w:rPr>
                  <w:rFonts w:cs="Times New Roman"/>
                  <w:szCs w:val="24"/>
                </w:rPr>
                <w:alias w:val="Author Label"/>
                <w:tag w:val="By"/>
                <w:id w:val="72399597"/>
                <w:lock w:val="sdtLocked"/>
                <w:placeholder>
                  <w:docPart w:val="CEAFEBFC8EE34E5A90AD075CFABB1B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D59704CFD5474EA75BE8EEBEAEBC63"/>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98728A2813C548E1A677658768E63F5E"/>
                </w:placeholder>
              </w:sdtPr>
              <w:sdtContent>
                <w:r>
                  <w:rPr>
                    <w:rFonts w:cs="Times New Roman"/>
                    <w:szCs w:val="24"/>
                  </w:rPr>
                  <w:t xml:space="preserve"> (Hughes)</w:t>
                </w:r>
              </w:sdtContent>
            </w:sdt>
          </w:p>
        </w:tc>
      </w:tr>
      <w:tr w:rsidR="0035622C" w:rsidTr="000F1DF9">
        <w:tc>
          <w:tcPr>
            <w:tcW w:w="2718" w:type="dxa"/>
          </w:tcPr>
          <w:p w:rsidR="0035622C" w:rsidRPr="00BC7495" w:rsidRDefault="0035622C" w:rsidP="000F1DF9">
            <w:pPr>
              <w:rPr>
                <w:rFonts w:cs="Times New Roman"/>
                <w:szCs w:val="24"/>
              </w:rPr>
            </w:pPr>
          </w:p>
        </w:tc>
        <w:sdt>
          <w:sdtPr>
            <w:rPr>
              <w:rFonts w:cs="Times New Roman"/>
              <w:szCs w:val="24"/>
            </w:rPr>
            <w:alias w:val="Committee"/>
            <w:tag w:val="Committee"/>
            <w:id w:val="1914272295"/>
            <w:lock w:val="sdtContentLocked"/>
            <w:placeholder>
              <w:docPart w:val="3E8E06E33C9D4BBA9A4C8AC373DBF15C"/>
            </w:placeholder>
          </w:sdtPr>
          <w:sdtContent>
            <w:tc>
              <w:tcPr>
                <w:tcW w:w="6858" w:type="dxa"/>
              </w:tcPr>
              <w:p w:rsidR="0035622C" w:rsidRPr="00FF6471" w:rsidRDefault="0035622C" w:rsidP="000F1DF9">
                <w:pPr>
                  <w:jc w:val="right"/>
                  <w:rPr>
                    <w:rFonts w:cs="Times New Roman"/>
                    <w:szCs w:val="24"/>
                  </w:rPr>
                </w:pPr>
                <w:r>
                  <w:rPr>
                    <w:rFonts w:cs="Times New Roman"/>
                    <w:szCs w:val="24"/>
                  </w:rPr>
                  <w:t>Administration</w:t>
                </w:r>
              </w:p>
            </w:tc>
          </w:sdtContent>
        </w:sdt>
      </w:tr>
      <w:tr w:rsidR="0035622C" w:rsidTr="000F1DF9">
        <w:tc>
          <w:tcPr>
            <w:tcW w:w="2718" w:type="dxa"/>
          </w:tcPr>
          <w:p w:rsidR="0035622C" w:rsidRPr="00BC7495" w:rsidRDefault="0035622C" w:rsidP="000F1DF9">
            <w:pPr>
              <w:rPr>
                <w:rFonts w:cs="Times New Roman"/>
                <w:szCs w:val="24"/>
              </w:rPr>
            </w:pPr>
          </w:p>
        </w:tc>
        <w:sdt>
          <w:sdtPr>
            <w:rPr>
              <w:rFonts w:cs="Times New Roman"/>
              <w:szCs w:val="24"/>
            </w:rPr>
            <w:alias w:val="Date"/>
            <w:tag w:val="DateContentControl"/>
            <w:id w:val="1178081906"/>
            <w:lock w:val="sdtLocked"/>
            <w:placeholder>
              <w:docPart w:val="984E6B6E6D204ED384F11155F32C41E1"/>
            </w:placeholder>
            <w:date w:fullDate="2019-05-11T00:00:00Z">
              <w:dateFormat w:val="M/d/yyyy"/>
              <w:lid w:val="en-US"/>
              <w:storeMappedDataAs w:val="dateTime"/>
              <w:calendar w:val="gregorian"/>
            </w:date>
          </w:sdtPr>
          <w:sdtContent>
            <w:tc>
              <w:tcPr>
                <w:tcW w:w="6858" w:type="dxa"/>
              </w:tcPr>
              <w:p w:rsidR="0035622C" w:rsidRPr="00FF6471" w:rsidRDefault="0035622C" w:rsidP="000F1DF9">
                <w:pPr>
                  <w:jc w:val="right"/>
                  <w:rPr>
                    <w:rFonts w:cs="Times New Roman"/>
                    <w:szCs w:val="24"/>
                  </w:rPr>
                </w:pPr>
                <w:r>
                  <w:rPr>
                    <w:rFonts w:cs="Times New Roman"/>
                    <w:szCs w:val="24"/>
                  </w:rPr>
                  <w:t>5/11/2019</w:t>
                </w:r>
              </w:p>
            </w:tc>
          </w:sdtContent>
        </w:sdt>
      </w:tr>
      <w:tr w:rsidR="0035622C" w:rsidTr="000F1DF9">
        <w:tc>
          <w:tcPr>
            <w:tcW w:w="2718" w:type="dxa"/>
          </w:tcPr>
          <w:p w:rsidR="0035622C" w:rsidRPr="00BC7495" w:rsidRDefault="0035622C" w:rsidP="000F1DF9">
            <w:pPr>
              <w:rPr>
                <w:rFonts w:cs="Times New Roman"/>
                <w:szCs w:val="24"/>
              </w:rPr>
            </w:pPr>
          </w:p>
        </w:tc>
        <w:sdt>
          <w:sdtPr>
            <w:rPr>
              <w:rFonts w:cs="Times New Roman"/>
              <w:szCs w:val="24"/>
            </w:rPr>
            <w:alias w:val="BA Version"/>
            <w:tag w:val="BAVersion"/>
            <w:id w:val="-1685590809"/>
            <w:lock w:val="sdtContentLocked"/>
            <w:placeholder>
              <w:docPart w:val="834D1813AEC9492DBB0D6E41E32BC1CB"/>
            </w:placeholder>
          </w:sdtPr>
          <w:sdtContent>
            <w:tc>
              <w:tcPr>
                <w:tcW w:w="6858" w:type="dxa"/>
              </w:tcPr>
              <w:p w:rsidR="0035622C" w:rsidRPr="00FF6471" w:rsidRDefault="0035622C" w:rsidP="000F1DF9">
                <w:pPr>
                  <w:jc w:val="right"/>
                  <w:rPr>
                    <w:rFonts w:cs="Times New Roman"/>
                    <w:szCs w:val="24"/>
                  </w:rPr>
                </w:pPr>
                <w:r>
                  <w:rPr>
                    <w:rFonts w:cs="Times New Roman"/>
                    <w:szCs w:val="24"/>
                  </w:rPr>
                  <w:t>Engrossed</w:t>
                </w:r>
              </w:p>
            </w:tc>
          </w:sdtContent>
        </w:sdt>
      </w:tr>
    </w:tbl>
    <w:p w:rsidR="0035622C" w:rsidRPr="00FF6471" w:rsidRDefault="0035622C" w:rsidP="000F1DF9">
      <w:pPr>
        <w:spacing w:after="0" w:line="240" w:lineRule="auto"/>
        <w:rPr>
          <w:rFonts w:cs="Times New Roman"/>
          <w:szCs w:val="24"/>
        </w:rPr>
      </w:pPr>
    </w:p>
    <w:p w:rsidR="0035622C" w:rsidRPr="00FF6471" w:rsidRDefault="0035622C" w:rsidP="000F1DF9">
      <w:pPr>
        <w:spacing w:after="0" w:line="240" w:lineRule="auto"/>
        <w:rPr>
          <w:rFonts w:cs="Times New Roman"/>
          <w:szCs w:val="24"/>
        </w:rPr>
      </w:pPr>
    </w:p>
    <w:p w:rsidR="0035622C" w:rsidRPr="00FF6471" w:rsidRDefault="003562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4B96088AA0402FBA517DE9DAB6DD1F"/>
        </w:placeholder>
      </w:sdtPr>
      <w:sdtContent>
        <w:p w:rsidR="0035622C" w:rsidRDefault="003562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94BD1EA13F4832B36A640AF5D37E56"/>
        </w:placeholder>
      </w:sdtPr>
      <w:sdtContent>
        <w:p w:rsidR="0035622C" w:rsidRDefault="0035622C" w:rsidP="004319BB">
          <w:pPr>
            <w:pStyle w:val="NormalWeb"/>
            <w:spacing w:before="0" w:beforeAutospacing="0" w:after="0" w:afterAutospacing="0"/>
            <w:jc w:val="both"/>
            <w:divId w:val="1618364972"/>
            <w:rPr>
              <w:rFonts w:eastAsia="Times New Roman"/>
              <w:bCs/>
            </w:rPr>
          </w:pPr>
        </w:p>
        <w:p w:rsidR="0035622C" w:rsidRPr="00E31E69" w:rsidRDefault="0035622C" w:rsidP="004319BB">
          <w:pPr>
            <w:pStyle w:val="NormalWeb"/>
            <w:spacing w:before="0" w:beforeAutospacing="0" w:after="0" w:afterAutospacing="0"/>
            <w:jc w:val="both"/>
            <w:divId w:val="1618364972"/>
          </w:pPr>
          <w:r w:rsidRPr="00E31E69">
            <w:t xml:space="preserve">It has been noted that, in the absence of more specific direction, the Texas Ethics Commission has relied on its rulemaking process to establish the method of operations for direct campaign expenditures following the decision handed down by the United States Supreme Court in 2010 in </w:t>
          </w:r>
          <w:r w:rsidRPr="009B2E64">
            <w:rPr>
              <w:i/>
            </w:rPr>
            <w:t>Citizens United v. Federal Election Commission</w:t>
          </w:r>
          <w:r w:rsidRPr="00E31E69">
            <w:t>. Concerns have been raised that this situation has resulted in unnecessary confusion and overly burdensome requirements imposed on political committees. H.B. 2586 seeks to address these concerns by establishing provisions relating to political contributions and political expenditures made to or by political committees or other persons.</w:t>
          </w:r>
        </w:p>
        <w:p w:rsidR="0035622C" w:rsidRPr="00D70925" w:rsidRDefault="0035622C" w:rsidP="004319BB">
          <w:pPr>
            <w:spacing w:after="0" w:line="240" w:lineRule="auto"/>
            <w:jc w:val="both"/>
            <w:rPr>
              <w:rFonts w:eastAsia="Times New Roman" w:cs="Times New Roman"/>
              <w:bCs/>
              <w:szCs w:val="24"/>
            </w:rPr>
          </w:pPr>
        </w:p>
      </w:sdtContent>
    </w:sdt>
    <w:p w:rsidR="0035622C" w:rsidRDefault="0035622C" w:rsidP="004319B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2586 </w:t>
      </w:r>
      <w:bookmarkStart w:id="1" w:name="AmendsCurrentLaw"/>
      <w:bookmarkEnd w:id="1"/>
      <w:r>
        <w:rPr>
          <w:rFonts w:cs="Times New Roman"/>
          <w:szCs w:val="24"/>
        </w:rPr>
        <w:t>amends current law relating to political contributions and political expenditures made to or by political committees or other persons.</w:t>
      </w:r>
    </w:p>
    <w:p w:rsidR="0035622C" w:rsidRPr="00E31E69" w:rsidRDefault="0035622C" w:rsidP="000F1DF9">
      <w:pPr>
        <w:spacing w:after="0" w:line="240" w:lineRule="auto"/>
        <w:jc w:val="both"/>
        <w:rPr>
          <w:rFonts w:eastAsia="Times New Roman" w:cs="Times New Roman"/>
          <w:szCs w:val="24"/>
        </w:rPr>
      </w:pPr>
    </w:p>
    <w:p w:rsidR="0035622C" w:rsidRPr="005C2A78" w:rsidRDefault="003562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D5F57F814543F6AF5D18528A921688"/>
          </w:placeholder>
        </w:sdtPr>
        <w:sdtContent>
          <w:r>
            <w:rPr>
              <w:rFonts w:eastAsia="Times New Roman" w:cs="Times New Roman"/>
              <w:b/>
              <w:szCs w:val="24"/>
              <w:u w:val="single"/>
            </w:rPr>
            <w:t>RULEMAKING AUTHORITY</w:t>
          </w:r>
        </w:sdtContent>
      </w:sdt>
    </w:p>
    <w:p w:rsidR="0035622C" w:rsidRPr="006529C4" w:rsidRDefault="0035622C" w:rsidP="00774EC7">
      <w:pPr>
        <w:spacing w:after="0" w:line="240" w:lineRule="auto"/>
        <w:jc w:val="both"/>
        <w:rPr>
          <w:rFonts w:cs="Times New Roman"/>
          <w:szCs w:val="24"/>
        </w:rPr>
      </w:pPr>
    </w:p>
    <w:p w:rsidR="0035622C" w:rsidRPr="006529C4" w:rsidRDefault="003562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622C" w:rsidRPr="006529C4" w:rsidRDefault="0035622C" w:rsidP="00774EC7">
      <w:pPr>
        <w:spacing w:after="0" w:line="240" w:lineRule="auto"/>
        <w:jc w:val="both"/>
        <w:rPr>
          <w:rFonts w:cs="Times New Roman"/>
          <w:szCs w:val="24"/>
        </w:rPr>
      </w:pPr>
    </w:p>
    <w:p w:rsidR="0035622C" w:rsidRPr="005C2A78" w:rsidRDefault="003562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52A1D418E24F71A9477BDE478A80A7"/>
          </w:placeholder>
        </w:sdtPr>
        <w:sdtContent>
          <w:r>
            <w:rPr>
              <w:rFonts w:eastAsia="Times New Roman" w:cs="Times New Roman"/>
              <w:b/>
              <w:szCs w:val="24"/>
              <w:u w:val="single"/>
            </w:rPr>
            <w:t>SECTION BY SECTION ANALYSIS</w:t>
          </w:r>
        </w:sdtContent>
      </w:sdt>
    </w:p>
    <w:p w:rsidR="0035622C" w:rsidRPr="005C2A78" w:rsidRDefault="0035622C" w:rsidP="000F1DF9">
      <w:pPr>
        <w:spacing w:after="0" w:line="240" w:lineRule="auto"/>
        <w:jc w:val="both"/>
        <w:rPr>
          <w:rFonts w:eastAsia="Times New Roman" w:cs="Times New Roman"/>
          <w:szCs w:val="24"/>
        </w:rPr>
      </w:pPr>
    </w:p>
    <w:p w:rsidR="0035622C" w:rsidRPr="009B2E64" w:rsidRDefault="0035622C" w:rsidP="004319BB">
      <w:pPr>
        <w:spacing w:after="0" w:line="240" w:lineRule="auto"/>
        <w:jc w:val="both"/>
        <w:rPr>
          <w:rFonts w:eastAsia="Times New Roman" w:cs="Times New Roman"/>
          <w:szCs w:val="24"/>
        </w:rPr>
      </w:pPr>
      <w:r w:rsidRPr="009B2E64">
        <w:rPr>
          <w:rFonts w:eastAsia="Times New Roman" w:cs="Times New Roman"/>
          <w:szCs w:val="24"/>
        </w:rPr>
        <w:t xml:space="preserve">SECTION 1. Amends Section 251.001, Election Code, by amending Subdivisions (8) and (12) and adding Subdivisions (21), as follows: </w:t>
      </w:r>
    </w:p>
    <w:p w:rsidR="0035622C" w:rsidRPr="009B2E64" w:rsidRDefault="0035622C" w:rsidP="004319BB">
      <w:pPr>
        <w:spacing w:after="0" w:line="240" w:lineRule="auto"/>
        <w:jc w:val="both"/>
        <w:rPr>
          <w:rFonts w:eastAsia="Times New Roman" w:cs="Times New Roman"/>
          <w:szCs w:val="24"/>
        </w:rPr>
      </w:pPr>
    </w:p>
    <w:p w:rsidR="0035622C" w:rsidRPr="009B2E64" w:rsidRDefault="0035622C" w:rsidP="004319BB">
      <w:pPr>
        <w:spacing w:after="0" w:line="240" w:lineRule="auto"/>
        <w:ind w:left="1440"/>
        <w:jc w:val="both"/>
        <w:rPr>
          <w:rFonts w:eastAsia="Times New Roman" w:cs="Times New Roman"/>
          <w:szCs w:val="24"/>
        </w:rPr>
      </w:pPr>
      <w:r w:rsidRPr="009B2E64">
        <w:rPr>
          <w:rFonts w:eastAsia="Times New Roman" w:cs="Times New Roman"/>
          <w:szCs w:val="24"/>
        </w:rPr>
        <w:t xml:space="preserve">(8) </w:t>
      </w:r>
      <w:r>
        <w:rPr>
          <w:rFonts w:eastAsia="Times New Roman" w:cs="Times New Roman"/>
          <w:szCs w:val="24"/>
        </w:rPr>
        <w:t>Redefines</w:t>
      </w:r>
      <w:r w:rsidRPr="009B2E64">
        <w:rPr>
          <w:rFonts w:eastAsia="Times New Roman" w:cs="Times New Roman"/>
          <w:szCs w:val="24"/>
        </w:rPr>
        <w:t xml:space="preserve"> "direct campaign expenditures" </w:t>
      </w:r>
      <w:r>
        <w:rPr>
          <w:rFonts w:eastAsia="Times New Roman" w:cs="Times New Roman"/>
          <w:szCs w:val="24"/>
        </w:rPr>
        <w:t>to provide that</w:t>
      </w:r>
      <w:r w:rsidRPr="009B2E64">
        <w:rPr>
          <w:rFonts w:eastAsia="Times New Roman" w:cs="Times New Roman"/>
          <w:szCs w:val="24"/>
        </w:rPr>
        <w:t xml:space="preserve"> a </w:t>
      </w:r>
      <w:r w:rsidRPr="009B2E64">
        <w:t xml:space="preserve">campaign expenditure does not constitute a contribution by the person making the expenditure to a candidate or officeholder if the expenditure is made without the prior consent or approval of the candidate or officeholder on whose behalf the expenditure is made. Provides that </w:t>
      </w:r>
      <w:r>
        <w:t>a campaign expenditure</w:t>
      </w:r>
      <w:r w:rsidRPr="009B2E64">
        <w:t xml:space="preserve"> made in connection with a measure does not constitute a contribution by the person making the expenditure if it is not made as a political contribution to a political committee supporting or opposing the measure.</w:t>
      </w:r>
    </w:p>
    <w:p w:rsidR="0035622C" w:rsidRPr="009B2E64" w:rsidRDefault="0035622C" w:rsidP="004319BB">
      <w:pPr>
        <w:spacing w:after="0" w:line="240" w:lineRule="auto"/>
        <w:ind w:left="1440"/>
        <w:jc w:val="both"/>
        <w:rPr>
          <w:rFonts w:eastAsia="Times New Roman" w:cs="Times New Roman"/>
          <w:szCs w:val="24"/>
        </w:rPr>
      </w:pPr>
    </w:p>
    <w:p w:rsidR="0035622C" w:rsidRPr="009B2E64" w:rsidRDefault="0035622C" w:rsidP="004319BB">
      <w:pPr>
        <w:spacing w:after="0" w:line="240" w:lineRule="auto"/>
        <w:ind w:left="1440"/>
        <w:jc w:val="both"/>
        <w:rPr>
          <w:rFonts w:eastAsia="Times New Roman" w:cs="Times New Roman"/>
          <w:szCs w:val="24"/>
        </w:rPr>
      </w:pPr>
      <w:r w:rsidRPr="009B2E64">
        <w:rPr>
          <w:rFonts w:eastAsia="Times New Roman" w:cs="Times New Roman"/>
          <w:szCs w:val="24"/>
        </w:rPr>
        <w:t>(12) Redefines "political committee" to mean two or more persons acting in concert with a principal purpose of accepting political contributions or making political expenditures. Provides that the term does not include a group composed exclusively of two or more individual filers or political committees required to file reports under this title</w:t>
      </w:r>
      <w:r>
        <w:rPr>
          <w:rFonts w:eastAsia="Times New Roman" w:cs="Times New Roman"/>
          <w:szCs w:val="24"/>
        </w:rPr>
        <w:t xml:space="preserve"> (Regulating Political Funds and Campaigns)</w:t>
      </w:r>
      <w:r w:rsidRPr="009B2E64">
        <w:rPr>
          <w:rFonts w:eastAsia="Times New Roman" w:cs="Times New Roman"/>
          <w:szCs w:val="24"/>
        </w:rPr>
        <w:t xml:space="preserve"> who make reportable expenditures for a joint activity.</w:t>
      </w:r>
    </w:p>
    <w:p w:rsidR="0035622C" w:rsidRPr="009B2E64" w:rsidRDefault="0035622C" w:rsidP="004319BB">
      <w:pPr>
        <w:spacing w:after="0" w:line="240" w:lineRule="auto"/>
        <w:ind w:left="720"/>
        <w:jc w:val="both"/>
        <w:rPr>
          <w:rFonts w:eastAsia="Times New Roman" w:cs="Times New Roman"/>
          <w:szCs w:val="24"/>
        </w:rPr>
      </w:pPr>
    </w:p>
    <w:p w:rsidR="0035622C" w:rsidRPr="009B2E64" w:rsidRDefault="0035622C" w:rsidP="004319BB">
      <w:pPr>
        <w:spacing w:after="0" w:line="240" w:lineRule="auto"/>
        <w:ind w:left="1440"/>
        <w:jc w:val="both"/>
        <w:rPr>
          <w:rFonts w:eastAsia="Times New Roman" w:cs="Times New Roman"/>
          <w:szCs w:val="24"/>
        </w:rPr>
      </w:pPr>
      <w:r w:rsidRPr="009B2E64">
        <w:rPr>
          <w:rFonts w:eastAsia="Times New Roman" w:cs="Times New Roman"/>
          <w:szCs w:val="24"/>
        </w:rPr>
        <w:t>(21) Defines "</w:t>
      </w:r>
      <w:r>
        <w:rPr>
          <w:rFonts w:eastAsia="Times New Roman" w:cs="Times New Roman"/>
          <w:szCs w:val="24"/>
        </w:rPr>
        <w:t>in-kind contribution</w:t>
      </w:r>
      <w:r w:rsidRPr="009B2E64">
        <w:rPr>
          <w:rFonts w:eastAsia="Times New Roman" w:cs="Times New Roman"/>
          <w:szCs w:val="24"/>
        </w:rPr>
        <w:t xml:space="preserve">." </w:t>
      </w:r>
    </w:p>
    <w:p w:rsidR="0035622C" w:rsidRPr="009B2E64" w:rsidRDefault="0035622C" w:rsidP="004319BB">
      <w:pPr>
        <w:spacing w:after="0" w:line="240" w:lineRule="auto"/>
        <w:jc w:val="both"/>
        <w:rPr>
          <w:rFonts w:eastAsia="Times New Roman" w:cs="Times New Roman"/>
          <w:szCs w:val="24"/>
        </w:rPr>
      </w:pPr>
    </w:p>
    <w:p w:rsidR="0035622C" w:rsidRPr="009B2E64" w:rsidRDefault="0035622C" w:rsidP="004319BB">
      <w:pPr>
        <w:spacing w:after="0" w:line="240" w:lineRule="auto"/>
        <w:jc w:val="both"/>
      </w:pPr>
      <w:r w:rsidRPr="009B2E64">
        <w:rPr>
          <w:rFonts w:eastAsia="Times New Roman" w:cs="Times New Roman"/>
          <w:szCs w:val="24"/>
        </w:rPr>
        <w:t xml:space="preserve">SECTION 2. Amends </w:t>
      </w:r>
      <w:r w:rsidRPr="009B2E64">
        <w:t xml:space="preserve">Subchapter A, Chapter 251, Election Code, by adding Sections 251.0015 and 251.0016, as follows: </w:t>
      </w:r>
    </w:p>
    <w:p w:rsidR="0035622C" w:rsidRPr="009B2E64" w:rsidRDefault="0035622C" w:rsidP="004319BB">
      <w:pPr>
        <w:spacing w:after="0" w:line="240" w:lineRule="auto"/>
        <w:jc w:val="both"/>
      </w:pPr>
    </w:p>
    <w:p w:rsidR="0035622C" w:rsidRPr="009B2E64" w:rsidRDefault="0035622C" w:rsidP="004319BB">
      <w:pPr>
        <w:spacing w:after="0" w:line="240" w:lineRule="auto"/>
        <w:ind w:left="720"/>
        <w:jc w:val="both"/>
      </w:pPr>
      <w:r w:rsidRPr="009B2E64">
        <w:t>Sec. 251.0015. COMMUNICATION WITH CANDIDATE. Provides that,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1440"/>
        <w:jc w:val="both"/>
      </w:pPr>
      <w:r w:rsidRPr="009B2E64">
        <w:t>(1) the expenditure is incurred at the request or suggestion of the candidate, officeholder, or candidate's or officeholder's agent;</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pPr>
      <w:r w:rsidRPr="009B2E64">
        <w:t>(2) the candidate, officeholder, or candidate's or officeholder's agent is materially involved in decisions regarding the creation, production, or distribution of a campaign communication related to the expenditure; or</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pPr>
      <w:r w:rsidRPr="009B2E64">
        <w:t>(3) the candidate, officeholder, or candidate's or officeholder's agent shares information about the candidate's or officeholder's plans or needs that is:</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2160"/>
        <w:jc w:val="both"/>
      </w:pPr>
      <w:r w:rsidRPr="009B2E64">
        <w:t>(A) material to the creation, production, or distribution of a campaign communication related to the expenditure; and</w:t>
      </w:r>
    </w:p>
    <w:p w:rsidR="0035622C" w:rsidRPr="009B2E64" w:rsidRDefault="0035622C" w:rsidP="004319BB">
      <w:pPr>
        <w:spacing w:after="0" w:line="240" w:lineRule="auto"/>
        <w:ind w:left="2160"/>
        <w:jc w:val="both"/>
      </w:pPr>
    </w:p>
    <w:p w:rsidR="0035622C" w:rsidRPr="009B2E64" w:rsidRDefault="0035622C" w:rsidP="004319BB">
      <w:pPr>
        <w:spacing w:after="0" w:line="240" w:lineRule="auto"/>
        <w:ind w:left="2160"/>
        <w:jc w:val="both"/>
      </w:pPr>
      <w:r w:rsidRPr="009B2E64">
        <w:t>(B) not available to the public.</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720"/>
        <w:jc w:val="both"/>
      </w:pPr>
      <w:r w:rsidRPr="009B2E64">
        <w:t>Sec. 251.0016. COMMON VENDOR. Provides that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1440"/>
        <w:jc w:val="both"/>
      </w:pPr>
      <w:r w:rsidRPr="009B2E64">
        <w:rPr>
          <w:rFonts w:eastAsia="Times New Roman" w:cs="Times New Roman"/>
          <w:szCs w:val="24"/>
        </w:rPr>
        <w:t xml:space="preserve">(1) </w:t>
      </w:r>
      <w:r w:rsidRPr="009B2E64">
        <w:t>material to the expenditure; and</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rPr>
          <w:rFonts w:eastAsia="Times New Roman" w:cs="Times New Roman"/>
          <w:szCs w:val="24"/>
        </w:rPr>
      </w:pPr>
      <w:r w:rsidRPr="009B2E64">
        <w:t>(2) not available to the public.</w:t>
      </w:r>
    </w:p>
    <w:p w:rsidR="0035622C" w:rsidRPr="009B2E64" w:rsidRDefault="0035622C" w:rsidP="004319BB">
      <w:pPr>
        <w:spacing w:after="0" w:line="240" w:lineRule="auto"/>
        <w:jc w:val="both"/>
        <w:rPr>
          <w:rFonts w:eastAsia="Times New Roman" w:cs="Times New Roman"/>
          <w:szCs w:val="24"/>
        </w:rPr>
      </w:pPr>
    </w:p>
    <w:p w:rsidR="0035622C" w:rsidRPr="009B2E64" w:rsidRDefault="0035622C" w:rsidP="004319BB">
      <w:pPr>
        <w:spacing w:after="0" w:line="240" w:lineRule="auto"/>
        <w:jc w:val="both"/>
      </w:pPr>
      <w:r w:rsidRPr="009B2E64">
        <w:rPr>
          <w:rFonts w:eastAsia="Times New Roman" w:cs="Times New Roman"/>
          <w:szCs w:val="24"/>
        </w:rPr>
        <w:t xml:space="preserve">SECTION 3. Amends </w:t>
      </w:r>
      <w:r w:rsidRPr="009B2E64">
        <w:t xml:space="preserve">Section 252.003, Election Code, by amending Subsection (a) and adding Subsection (a-1), as follows: </w:t>
      </w:r>
    </w:p>
    <w:p w:rsidR="0035622C" w:rsidRPr="009B2E64" w:rsidRDefault="0035622C" w:rsidP="004319BB">
      <w:pPr>
        <w:spacing w:after="0" w:line="240" w:lineRule="auto"/>
        <w:jc w:val="both"/>
      </w:pPr>
    </w:p>
    <w:p w:rsidR="0035622C" w:rsidRPr="009B2E64" w:rsidRDefault="0035622C" w:rsidP="004319BB">
      <w:pPr>
        <w:spacing w:after="0" w:line="240" w:lineRule="auto"/>
        <w:ind w:left="720"/>
        <w:jc w:val="both"/>
      </w:pPr>
      <w:r w:rsidRPr="009B2E64">
        <w:t>(a) Requires a campaign treasurer appointment by a general-purpose committee, in addition to the information required by Section 252.002</w:t>
      </w:r>
      <w:r>
        <w:t xml:space="preserve"> (Contents of Appointment)</w:t>
      </w:r>
      <w:r w:rsidRPr="009B2E64">
        <w:t>, to include:</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1440"/>
        <w:jc w:val="both"/>
      </w:pPr>
      <w:r w:rsidRPr="009B2E64">
        <w:t>(1) makes no changes to this subdivision;</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pPr>
      <w:r w:rsidRPr="009B2E64">
        <w:t>(2)–(3) make</w:t>
      </w:r>
      <w:r>
        <w:t>s nonsubstantive changes to these</w:t>
      </w:r>
      <w:r w:rsidRPr="009B2E64">
        <w:t xml:space="preserve"> subdivision</w:t>
      </w:r>
      <w:r>
        <w:t>s</w:t>
      </w:r>
      <w:r w:rsidRPr="009B2E64">
        <w:t>; and</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pPr>
      <w:r w:rsidRPr="009B2E64">
        <w:t xml:space="preserve">(4) </w:t>
      </w:r>
      <w:r>
        <w:t>before the committee is authorized to</w:t>
      </w:r>
      <w:r w:rsidRPr="009B2E64">
        <w:t xml:space="preserve"> use a political contribution from a corporation or a labor organization to make a direct campaign expenditure in connection with a campaign for an elective office, an affidavit stating that:</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2160"/>
        <w:jc w:val="both"/>
      </w:pPr>
      <w:r w:rsidRPr="009B2E64">
        <w:t>(A) the committee is not established or controlled by a candidate or an officeholder; and</w:t>
      </w:r>
    </w:p>
    <w:p w:rsidR="0035622C" w:rsidRPr="009B2E64" w:rsidRDefault="0035622C" w:rsidP="004319BB">
      <w:pPr>
        <w:spacing w:after="0" w:line="240" w:lineRule="auto"/>
        <w:ind w:left="2160"/>
        <w:jc w:val="both"/>
      </w:pPr>
    </w:p>
    <w:p w:rsidR="0035622C" w:rsidRPr="009B2E64" w:rsidRDefault="0035622C" w:rsidP="004319BB">
      <w:pPr>
        <w:spacing w:after="0" w:line="240" w:lineRule="auto"/>
        <w:ind w:left="2160"/>
        <w:jc w:val="both"/>
      </w:pPr>
      <w:r w:rsidRPr="009B2E64">
        <w:t>(B) the committee will not use any political contribution from a corporation or a labor organization to make a political contribution to:</w:t>
      </w:r>
    </w:p>
    <w:p w:rsidR="0035622C" w:rsidRPr="009B2E64" w:rsidRDefault="0035622C" w:rsidP="004319BB">
      <w:pPr>
        <w:spacing w:after="0" w:line="240" w:lineRule="auto"/>
        <w:ind w:left="2160"/>
        <w:jc w:val="both"/>
      </w:pPr>
    </w:p>
    <w:p w:rsidR="0035622C" w:rsidRPr="009B2E64" w:rsidRDefault="0035622C" w:rsidP="004319BB">
      <w:pPr>
        <w:spacing w:after="0" w:line="240" w:lineRule="auto"/>
        <w:ind w:left="2880"/>
        <w:jc w:val="both"/>
      </w:pPr>
      <w:r w:rsidRPr="009B2E64">
        <w:t>(i) a candidate for elective office;</w:t>
      </w:r>
    </w:p>
    <w:p w:rsidR="0035622C" w:rsidRPr="009B2E64" w:rsidRDefault="0035622C" w:rsidP="004319BB">
      <w:pPr>
        <w:spacing w:after="0" w:line="240" w:lineRule="auto"/>
        <w:ind w:left="2880"/>
        <w:jc w:val="both"/>
      </w:pPr>
    </w:p>
    <w:p w:rsidR="0035622C" w:rsidRPr="009B2E64" w:rsidRDefault="0035622C" w:rsidP="004319BB">
      <w:pPr>
        <w:spacing w:after="0" w:line="240" w:lineRule="auto"/>
        <w:ind w:left="2880"/>
        <w:jc w:val="both"/>
      </w:pPr>
      <w:r w:rsidRPr="009B2E64">
        <w:t>(ii) an officeholder; or</w:t>
      </w:r>
    </w:p>
    <w:p w:rsidR="0035622C" w:rsidRPr="009B2E64" w:rsidRDefault="0035622C" w:rsidP="004319BB">
      <w:pPr>
        <w:spacing w:after="0" w:line="240" w:lineRule="auto"/>
        <w:ind w:left="2880"/>
        <w:jc w:val="both"/>
      </w:pPr>
    </w:p>
    <w:p w:rsidR="0035622C" w:rsidRPr="009B2E64" w:rsidRDefault="0035622C" w:rsidP="004319BB">
      <w:pPr>
        <w:spacing w:after="0" w:line="240" w:lineRule="auto"/>
        <w:ind w:left="2880"/>
        <w:jc w:val="both"/>
      </w:pPr>
      <w:r w:rsidRPr="009B2E64">
        <w:t>(iii) a political committee that has not filed an affidavit under this subdivision or Section 252.0031(a)(2).</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720"/>
        <w:jc w:val="both"/>
        <w:rPr>
          <w:rFonts w:eastAsia="Times New Roman" w:cs="Times New Roman"/>
          <w:szCs w:val="24"/>
        </w:rPr>
      </w:pPr>
      <w:r w:rsidRPr="009B2E64">
        <w:t>(a-1) Provides that filing an affidavit under Subsection (a)(4) does not create any additional reporting requirements under Section 254.261</w:t>
      </w:r>
      <w:r>
        <w:t xml:space="preserve"> (Direct Campaign Expenditure Exceeding $100)</w:t>
      </w:r>
      <w:r w:rsidRPr="009B2E64">
        <w:t xml:space="preserve">. </w:t>
      </w:r>
    </w:p>
    <w:p w:rsidR="0035622C" w:rsidRPr="009B2E64" w:rsidRDefault="0035622C" w:rsidP="004319BB">
      <w:pPr>
        <w:spacing w:after="0" w:line="240" w:lineRule="auto"/>
        <w:ind w:left="2880"/>
        <w:jc w:val="both"/>
        <w:rPr>
          <w:rFonts w:eastAsia="Times New Roman" w:cs="Times New Roman"/>
          <w:szCs w:val="24"/>
        </w:rPr>
      </w:pPr>
    </w:p>
    <w:p w:rsidR="0035622C" w:rsidRPr="009B2E64" w:rsidRDefault="0035622C" w:rsidP="004319BB">
      <w:pPr>
        <w:spacing w:after="0" w:line="240" w:lineRule="auto"/>
        <w:jc w:val="both"/>
      </w:pPr>
      <w:r w:rsidRPr="009B2E64">
        <w:rPr>
          <w:rFonts w:eastAsia="Times New Roman" w:cs="Times New Roman"/>
          <w:szCs w:val="24"/>
        </w:rPr>
        <w:t xml:space="preserve">SECTION 4. Amends </w:t>
      </w:r>
      <w:r w:rsidRPr="009B2E64">
        <w:t xml:space="preserve">Section 252.0031, Election Code, by amending Subsection (a) and adding Subsections (a-1) and (a-2), as follows: </w:t>
      </w:r>
    </w:p>
    <w:p w:rsidR="0035622C" w:rsidRPr="009B2E64" w:rsidRDefault="0035622C" w:rsidP="004319BB">
      <w:pPr>
        <w:spacing w:after="0" w:line="240" w:lineRule="auto"/>
        <w:jc w:val="both"/>
      </w:pPr>
    </w:p>
    <w:p w:rsidR="0035622C" w:rsidRPr="009B2E64" w:rsidRDefault="0035622C" w:rsidP="004319BB">
      <w:pPr>
        <w:spacing w:after="0" w:line="240" w:lineRule="auto"/>
        <w:ind w:left="720"/>
        <w:jc w:val="both"/>
        <w:rPr>
          <w:rFonts w:cs="Times New Roman"/>
        </w:rPr>
      </w:pPr>
      <w:r w:rsidRPr="009B2E64">
        <w:rPr>
          <w:rFonts w:cs="Times New Roman"/>
        </w:rPr>
        <w:t>(a) Makes a nonsubstantive change. Requires a campaign treasurer appointment by a specific-purpose committee for supporting or opposing a candidate for an office specified by Section 252.005(1) (relating to requiring an individual</w:t>
      </w:r>
      <w:r w:rsidRPr="009B2E64">
        <w:rPr>
          <w:rFonts w:cs="Times New Roman"/>
          <w:color w:val="000000"/>
          <w:shd w:val="clear" w:color="auto" w:fill="FFFFFF"/>
        </w:rPr>
        <w:t xml:space="preserve"> to file a campaign treasurer appointment for the individual's o</w:t>
      </w:r>
      <w:r>
        <w:rPr>
          <w:rFonts w:cs="Times New Roman"/>
          <w:color w:val="000000"/>
          <w:shd w:val="clear" w:color="auto" w:fill="FFFFFF"/>
        </w:rPr>
        <w:t>wn candidacy with the Texas Ethics Commission</w:t>
      </w:r>
      <w:r w:rsidRPr="009B2E64">
        <w:rPr>
          <w:rFonts w:cs="Times New Roman"/>
          <w:color w:val="000000"/>
          <w:shd w:val="clear" w:color="auto" w:fill="FFFFFF"/>
        </w:rPr>
        <w:t>, if the appointment is made for candidacy for certain offices)</w:t>
      </w:r>
      <w:r w:rsidRPr="009B2E64">
        <w:rPr>
          <w:rFonts w:cs="Times New Roman"/>
        </w:rPr>
        <w:t>, in addition to the information required by Section 252.002, to include:</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1440"/>
        <w:jc w:val="both"/>
      </w:pPr>
      <w:r w:rsidRPr="009B2E64">
        <w:t>(1) creates this subdivision from existing text and makes a nonsubstantive change; or</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pPr>
      <w:r w:rsidRPr="009B2E64">
        <w:t xml:space="preserve">(2) </w:t>
      </w:r>
      <w:r>
        <w:t>before the committee is authorized to</w:t>
      </w:r>
      <w:r w:rsidRPr="009B2E64">
        <w:t xml:space="preserve"> use a political contribution from a corporation or a labor organization to make a direct campaign expenditure in connection with a campaign for an elective office, an affidavit stating that:</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2160"/>
        <w:jc w:val="both"/>
      </w:pPr>
      <w:r w:rsidRPr="009B2E64">
        <w:t>(A) the committee is not established or controlled by a candidate or an officeholder;</w:t>
      </w:r>
    </w:p>
    <w:p w:rsidR="0035622C" w:rsidRPr="009B2E64" w:rsidRDefault="0035622C" w:rsidP="004319BB">
      <w:pPr>
        <w:spacing w:after="0" w:line="240" w:lineRule="auto"/>
        <w:ind w:left="2160"/>
        <w:jc w:val="both"/>
      </w:pPr>
    </w:p>
    <w:p w:rsidR="0035622C" w:rsidRPr="009B2E64" w:rsidRDefault="0035622C" w:rsidP="004319BB">
      <w:pPr>
        <w:spacing w:after="0" w:line="240" w:lineRule="auto"/>
        <w:ind w:left="2160"/>
        <w:jc w:val="both"/>
      </w:pPr>
      <w:r w:rsidRPr="009B2E64">
        <w:t>(B) the committee will not use any political contribution from a corporation or a labor organization to make a political contribution to:</w:t>
      </w:r>
    </w:p>
    <w:p w:rsidR="0035622C" w:rsidRPr="009B2E64" w:rsidRDefault="0035622C" w:rsidP="004319BB">
      <w:pPr>
        <w:spacing w:after="0" w:line="240" w:lineRule="auto"/>
        <w:ind w:left="2160"/>
        <w:jc w:val="both"/>
      </w:pPr>
    </w:p>
    <w:p w:rsidR="0035622C" w:rsidRPr="009B2E64" w:rsidRDefault="0035622C" w:rsidP="004319BB">
      <w:pPr>
        <w:spacing w:after="0" w:line="240" w:lineRule="auto"/>
        <w:ind w:left="2880"/>
        <w:jc w:val="both"/>
      </w:pPr>
      <w:r w:rsidRPr="009B2E64">
        <w:t>(i) a candidate for elective office;</w:t>
      </w:r>
    </w:p>
    <w:p w:rsidR="0035622C" w:rsidRPr="009B2E64" w:rsidRDefault="0035622C" w:rsidP="004319BB">
      <w:pPr>
        <w:spacing w:after="0" w:line="240" w:lineRule="auto"/>
        <w:ind w:left="2880"/>
        <w:jc w:val="both"/>
      </w:pPr>
    </w:p>
    <w:p w:rsidR="0035622C" w:rsidRPr="009B2E64" w:rsidRDefault="0035622C" w:rsidP="004319BB">
      <w:pPr>
        <w:spacing w:after="0" w:line="240" w:lineRule="auto"/>
        <w:ind w:left="2880"/>
        <w:jc w:val="both"/>
      </w:pPr>
      <w:r w:rsidRPr="009B2E64">
        <w:t xml:space="preserve">(ii) an officeholder; or </w:t>
      </w:r>
    </w:p>
    <w:p w:rsidR="0035622C" w:rsidRPr="009B2E64" w:rsidRDefault="0035622C" w:rsidP="004319BB">
      <w:pPr>
        <w:spacing w:after="0" w:line="240" w:lineRule="auto"/>
        <w:ind w:left="2880"/>
        <w:jc w:val="both"/>
      </w:pPr>
    </w:p>
    <w:p w:rsidR="0035622C" w:rsidRPr="009B2E64" w:rsidRDefault="0035622C" w:rsidP="004319BB">
      <w:pPr>
        <w:spacing w:after="0" w:line="240" w:lineRule="auto"/>
        <w:ind w:left="2880"/>
        <w:jc w:val="both"/>
      </w:pPr>
      <w:r w:rsidRPr="009B2E64">
        <w:t>(iii) a political committee that has not filed an affidavit under this subdivision or Section 252.003(a)(4</w:t>
      </w:r>
      <w:r>
        <w:t>)</w:t>
      </w:r>
      <w:r w:rsidRPr="009B2E64">
        <w:t>.</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720"/>
        <w:jc w:val="both"/>
      </w:pPr>
      <w:r>
        <w:t>(a-1) Requires the committee</w:t>
      </w:r>
      <w:r w:rsidRPr="009B2E64">
        <w:t xml:space="preserve">, if the information required to be provided under Subsection (a) changes, to immediately file an amended appointment reflecting the change, rather than requiring the committee, if  that information changes, to immediately file an amended appointment reflecting the change. </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720"/>
        <w:jc w:val="both"/>
        <w:rPr>
          <w:rFonts w:eastAsia="Times New Roman" w:cs="Times New Roman"/>
          <w:szCs w:val="24"/>
        </w:rPr>
      </w:pPr>
      <w:r w:rsidRPr="009B2E64">
        <w:t xml:space="preserve">(a-2) Provides that filing an affidavit under Subsection (a)(2) does not create any additional reporting requirements under Section 254.261. </w:t>
      </w:r>
    </w:p>
    <w:p w:rsidR="0035622C" w:rsidRPr="009B2E64" w:rsidRDefault="0035622C" w:rsidP="004319BB">
      <w:pPr>
        <w:spacing w:after="0" w:line="240" w:lineRule="auto"/>
        <w:jc w:val="both"/>
        <w:rPr>
          <w:rFonts w:eastAsia="Times New Roman" w:cs="Times New Roman"/>
          <w:szCs w:val="24"/>
        </w:rPr>
      </w:pPr>
    </w:p>
    <w:p w:rsidR="0035622C" w:rsidRPr="009B2E64" w:rsidRDefault="0035622C" w:rsidP="004319BB">
      <w:pPr>
        <w:spacing w:after="0" w:line="240" w:lineRule="auto"/>
        <w:jc w:val="both"/>
      </w:pPr>
      <w:r w:rsidRPr="009B2E64">
        <w:rPr>
          <w:rFonts w:eastAsia="Times New Roman" w:cs="Times New Roman"/>
          <w:szCs w:val="24"/>
        </w:rPr>
        <w:t xml:space="preserve">SECTION 5. Amends </w:t>
      </w:r>
      <w:r w:rsidRPr="009B2E64">
        <w:t xml:space="preserve">Subchapter D, Chapter 253, Election Code, by adding Section 253.097, as follows: </w:t>
      </w:r>
    </w:p>
    <w:p w:rsidR="0035622C" w:rsidRPr="009B2E64" w:rsidRDefault="0035622C" w:rsidP="004319BB">
      <w:pPr>
        <w:spacing w:after="0" w:line="240" w:lineRule="auto"/>
        <w:jc w:val="both"/>
      </w:pPr>
    </w:p>
    <w:p w:rsidR="0035622C" w:rsidRPr="009B2E64" w:rsidRDefault="0035622C" w:rsidP="004319BB">
      <w:pPr>
        <w:spacing w:after="0" w:line="240" w:lineRule="auto"/>
        <w:ind w:left="720"/>
        <w:jc w:val="both"/>
        <w:rPr>
          <w:rFonts w:eastAsia="Times New Roman" w:cs="Times New Roman"/>
          <w:szCs w:val="24"/>
        </w:rPr>
      </w:pPr>
      <w:r w:rsidRPr="009B2E64">
        <w:t>Sec. 253.097. CONTRIBUTION FROM CORPORATION OR LABOR ORGANIZATION. Authorizes a corporation or labor organization to make campaign contributions from its own property to a political committee that has filed an affidavit with the committee's campaign treasurer appointment in accordance with Section 252.003(a)(4) or 252.0031(a)(2)</w:t>
      </w:r>
    </w:p>
    <w:p w:rsidR="0035622C" w:rsidRPr="009B2E64" w:rsidRDefault="0035622C" w:rsidP="004319BB">
      <w:pPr>
        <w:spacing w:after="0" w:line="240" w:lineRule="auto"/>
        <w:jc w:val="both"/>
        <w:rPr>
          <w:rFonts w:eastAsia="Times New Roman" w:cs="Times New Roman"/>
          <w:szCs w:val="24"/>
        </w:rPr>
      </w:pPr>
    </w:p>
    <w:p w:rsidR="0035622C" w:rsidRPr="009B2E64" w:rsidRDefault="0035622C" w:rsidP="004319BB">
      <w:pPr>
        <w:spacing w:after="0" w:line="240" w:lineRule="auto"/>
        <w:jc w:val="both"/>
      </w:pPr>
      <w:r w:rsidRPr="009B2E64">
        <w:rPr>
          <w:rFonts w:eastAsia="Times New Roman" w:cs="Times New Roman"/>
          <w:szCs w:val="24"/>
        </w:rPr>
        <w:t xml:space="preserve">SECTION 6. Amends </w:t>
      </w:r>
      <w:r w:rsidRPr="009B2E64">
        <w:t xml:space="preserve">Sections 253.100(a) and (e), Election Code, as follows: </w:t>
      </w:r>
    </w:p>
    <w:p w:rsidR="0035622C" w:rsidRPr="009B2E64" w:rsidRDefault="0035622C" w:rsidP="004319BB">
      <w:pPr>
        <w:spacing w:after="0" w:line="240" w:lineRule="auto"/>
        <w:jc w:val="both"/>
      </w:pPr>
    </w:p>
    <w:p w:rsidR="0035622C" w:rsidRPr="009B2E64" w:rsidRDefault="0035622C" w:rsidP="004319BB">
      <w:pPr>
        <w:spacing w:after="0" w:line="240" w:lineRule="auto"/>
        <w:ind w:left="720"/>
        <w:jc w:val="both"/>
      </w:pPr>
      <w:r w:rsidRPr="009B2E64">
        <w:t>(a) Authorizes a corporation, in addition to any other expenditure that is considered permissible under this section</w:t>
      </w:r>
      <w:r>
        <w:t xml:space="preserve"> (Expenditures For General-Purpose Committees)</w:t>
      </w:r>
      <w:r w:rsidRPr="009B2E64">
        <w:t>, to make an expenditure for the maintenance and operation of a general-purpose committee, including an expenditure for:</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1440"/>
        <w:jc w:val="both"/>
      </w:pPr>
      <w:r w:rsidRPr="009B2E64">
        <w:t>(1)–(10) makes no changes to these subdivisions;</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pPr>
      <w:r w:rsidRPr="009B2E64">
        <w:t>(11)–(12) makes nonsubstantive changes to these subdivisions; or</w:t>
      </w:r>
    </w:p>
    <w:p w:rsidR="0035622C" w:rsidRPr="009B2E64" w:rsidRDefault="0035622C" w:rsidP="004319BB">
      <w:pPr>
        <w:spacing w:after="0" w:line="240" w:lineRule="auto"/>
        <w:ind w:left="1440"/>
        <w:jc w:val="both"/>
      </w:pPr>
    </w:p>
    <w:p w:rsidR="0035622C" w:rsidRPr="009B2E64" w:rsidRDefault="0035622C" w:rsidP="004319BB">
      <w:pPr>
        <w:spacing w:after="0" w:line="240" w:lineRule="auto"/>
        <w:ind w:left="1440"/>
        <w:jc w:val="both"/>
      </w:pPr>
      <w:r w:rsidRPr="009B2E64">
        <w:t>(13) creation and maintenance of the committee's public Internet web pages that do not contain political advertising.</w:t>
      </w:r>
    </w:p>
    <w:p w:rsidR="0035622C" w:rsidRPr="009B2E64" w:rsidRDefault="0035622C" w:rsidP="004319BB">
      <w:pPr>
        <w:spacing w:after="0" w:line="240" w:lineRule="auto"/>
        <w:ind w:left="720"/>
        <w:jc w:val="both"/>
      </w:pPr>
    </w:p>
    <w:p w:rsidR="0035622C" w:rsidRPr="009B2E64" w:rsidRDefault="0035622C" w:rsidP="004319BB">
      <w:pPr>
        <w:spacing w:after="0" w:line="240" w:lineRule="auto"/>
        <w:ind w:left="720"/>
        <w:jc w:val="both"/>
        <w:rPr>
          <w:rFonts w:eastAsia="Times New Roman" w:cs="Times New Roman"/>
          <w:szCs w:val="24"/>
        </w:rPr>
      </w:pPr>
      <w:r w:rsidRPr="009B2E64">
        <w:rPr>
          <w:rFonts w:cs="Times New Roman"/>
        </w:rPr>
        <w:t xml:space="preserve">(c) Provides that Subsection (d) (relating to prohibiting </w:t>
      </w:r>
      <w:r w:rsidRPr="009B2E64">
        <w:rPr>
          <w:rFonts w:cs="Times New Roman"/>
          <w:color w:val="000000"/>
          <w:shd w:val="clear" w:color="auto" w:fill="FFFFFF"/>
        </w:rPr>
        <w:t xml:space="preserve">corporation or labor organization from making expenditures for certain efforts) </w:t>
      </w:r>
      <w:r w:rsidRPr="009B2E64">
        <w:rPr>
          <w:rFonts w:cs="Times New Roman"/>
        </w:rPr>
        <w:t>does not apply to a corporation or labor organization making a campaign contribution to a political committee under Section 253.097 or an expenditure to communicate with its stockholders or members, as applicable, or with the families of its stockholders or members as provided by Section 253.098</w:t>
      </w:r>
      <w:r>
        <w:rPr>
          <w:rFonts w:cs="Times New Roman"/>
        </w:rPr>
        <w:t xml:space="preserve"> (Communication With Stockholders or Members)</w:t>
      </w:r>
      <w:r w:rsidRPr="009B2E64">
        <w:rPr>
          <w:rFonts w:cs="Times New Roman"/>
        </w:rPr>
        <w:t xml:space="preserve">. </w:t>
      </w:r>
    </w:p>
    <w:p w:rsidR="0035622C" w:rsidRPr="009B2E64" w:rsidRDefault="0035622C" w:rsidP="004319BB">
      <w:pPr>
        <w:spacing w:after="0" w:line="240" w:lineRule="auto"/>
        <w:jc w:val="both"/>
        <w:rPr>
          <w:rFonts w:eastAsia="Times New Roman" w:cs="Times New Roman"/>
          <w:szCs w:val="24"/>
        </w:rPr>
      </w:pPr>
    </w:p>
    <w:p w:rsidR="0035622C" w:rsidRPr="009B2E64" w:rsidRDefault="0035622C" w:rsidP="004319BB">
      <w:pPr>
        <w:spacing w:after="0" w:line="240" w:lineRule="auto"/>
        <w:jc w:val="both"/>
      </w:pPr>
      <w:r w:rsidRPr="009B2E64">
        <w:rPr>
          <w:rFonts w:eastAsia="Times New Roman" w:cs="Times New Roman"/>
          <w:szCs w:val="24"/>
        </w:rPr>
        <w:t xml:space="preserve">SECTION 7. Amends </w:t>
      </w:r>
      <w:r w:rsidRPr="009B2E64">
        <w:t xml:space="preserve">Section 253.101, Election Code, by adding Subsection (a-1), as follows: </w:t>
      </w:r>
    </w:p>
    <w:p w:rsidR="0035622C" w:rsidRPr="009B2E64" w:rsidRDefault="0035622C" w:rsidP="004319BB">
      <w:pPr>
        <w:spacing w:after="0" w:line="240" w:lineRule="auto"/>
        <w:jc w:val="both"/>
        <w:rPr>
          <w:rFonts w:cs="Times New Roman"/>
        </w:rPr>
      </w:pPr>
    </w:p>
    <w:p w:rsidR="0035622C" w:rsidRPr="009B2E64" w:rsidRDefault="0035622C" w:rsidP="004319BB">
      <w:pPr>
        <w:spacing w:after="0" w:line="240" w:lineRule="auto"/>
        <w:ind w:left="720"/>
        <w:jc w:val="both"/>
        <w:rPr>
          <w:rFonts w:eastAsia="Times New Roman" w:cs="Times New Roman"/>
          <w:szCs w:val="24"/>
        </w:rPr>
      </w:pPr>
      <w:r w:rsidRPr="009B2E64">
        <w:rPr>
          <w:rFonts w:cs="Times New Roman"/>
        </w:rPr>
        <w:t xml:space="preserve">(a-1) Provides that Subsection (a) (relating to prohibiting a </w:t>
      </w:r>
      <w:r w:rsidRPr="009B2E64">
        <w:rPr>
          <w:rFonts w:cs="Times New Roman"/>
          <w:color w:val="000000"/>
          <w:shd w:val="clear" w:color="auto" w:fill="FFFFFF"/>
        </w:rPr>
        <w:t xml:space="preserve">political committee assisted by a corporation or labor organization from making a political contribution or political expenditure in whole or part from money that is known by a member or officer of the political committee to be dues, fees, or other money required as a condition of employment or condition of membership in a labor organization) </w:t>
      </w:r>
      <w:r w:rsidRPr="009B2E64">
        <w:rPr>
          <w:rFonts w:cs="Times New Roman"/>
        </w:rPr>
        <w:t xml:space="preserve">does not prohibit a political committee from making a political contribution or political expenditure wholly or partly from a campaign contribution made by a corporation or labor organization to the political committee under Section 253.096 (Contribution on Measure) or </w:t>
      </w:r>
      <w:r>
        <w:rPr>
          <w:rFonts w:cs="Times New Roman"/>
        </w:rPr>
        <w:t xml:space="preserve">Section </w:t>
      </w:r>
      <w:r w:rsidRPr="009B2E64">
        <w:rPr>
          <w:rFonts w:cs="Times New Roman"/>
        </w:rPr>
        <w:t>253.097.</w:t>
      </w:r>
      <w:r w:rsidRPr="009B2E64">
        <w:rPr>
          <w:rFonts w:cs="Times New Roman"/>
          <w:u w:val="single"/>
        </w:rPr>
        <w:t xml:space="preserve"> </w:t>
      </w:r>
    </w:p>
    <w:p w:rsidR="0035622C" w:rsidRDefault="0035622C" w:rsidP="004319BB">
      <w:pPr>
        <w:spacing w:after="0" w:line="240" w:lineRule="auto"/>
        <w:jc w:val="both"/>
        <w:rPr>
          <w:rFonts w:eastAsia="Times New Roman" w:cs="Times New Roman"/>
          <w:szCs w:val="24"/>
        </w:rPr>
      </w:pPr>
    </w:p>
    <w:p w:rsidR="0035622C" w:rsidRDefault="0035622C" w:rsidP="004319BB">
      <w:pPr>
        <w:spacing w:after="0" w:line="240" w:lineRule="auto"/>
        <w:jc w:val="both"/>
        <w:rPr>
          <w:rFonts w:eastAsia="Times New Roman" w:cs="Times New Roman"/>
          <w:szCs w:val="24"/>
        </w:rPr>
      </w:pPr>
      <w:r>
        <w:rPr>
          <w:rFonts w:eastAsia="Times New Roman" w:cs="Times New Roman"/>
          <w:szCs w:val="24"/>
        </w:rPr>
        <w:t xml:space="preserve">SECTION 8. Makes application of this Act prospective. </w:t>
      </w:r>
    </w:p>
    <w:p w:rsidR="0035622C" w:rsidRDefault="0035622C" w:rsidP="004319BB">
      <w:pPr>
        <w:spacing w:after="0" w:line="240" w:lineRule="auto"/>
        <w:jc w:val="both"/>
        <w:rPr>
          <w:rFonts w:eastAsia="Times New Roman" w:cs="Times New Roman"/>
          <w:szCs w:val="24"/>
        </w:rPr>
      </w:pPr>
    </w:p>
    <w:p w:rsidR="0035622C" w:rsidRPr="00C8671F" w:rsidRDefault="0035622C" w:rsidP="004319BB">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sectPr w:rsidR="003562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63" w:rsidRDefault="00E36663" w:rsidP="000F1DF9">
      <w:pPr>
        <w:spacing w:after="0" w:line="240" w:lineRule="auto"/>
      </w:pPr>
      <w:r>
        <w:separator/>
      </w:r>
    </w:p>
  </w:endnote>
  <w:endnote w:type="continuationSeparator" w:id="0">
    <w:p w:rsidR="00E36663" w:rsidRDefault="00E366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66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622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622C">
                <w:rPr>
                  <w:sz w:val="20"/>
                  <w:szCs w:val="20"/>
                </w:rPr>
                <w:t>H.B. 2586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62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66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62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622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63" w:rsidRDefault="00E36663" w:rsidP="000F1DF9">
      <w:pPr>
        <w:spacing w:after="0" w:line="240" w:lineRule="auto"/>
      </w:pPr>
      <w:r>
        <w:separator/>
      </w:r>
    </w:p>
  </w:footnote>
  <w:footnote w:type="continuationSeparator" w:id="0">
    <w:p w:rsidR="00E36663" w:rsidRDefault="00E366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622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6663"/>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F940"/>
  <w15:docId w15:val="{EE5F24B0-C235-45BD-9B16-33D6DCA8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62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5DAC" w:rsidP="005E5D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7059420843411FAD85CBC231FF047D"/>
        <w:category>
          <w:name w:val="General"/>
          <w:gallery w:val="placeholder"/>
        </w:category>
        <w:types>
          <w:type w:val="bbPlcHdr"/>
        </w:types>
        <w:behaviors>
          <w:behavior w:val="content"/>
        </w:behaviors>
        <w:guid w:val="{CCB97891-8B3E-4B46-A483-B2E3F4C0482B}"/>
      </w:docPartPr>
      <w:docPartBody>
        <w:p w:rsidR="00000000" w:rsidRDefault="00FB412E"/>
      </w:docPartBody>
    </w:docPart>
    <w:docPart>
      <w:docPartPr>
        <w:name w:val="3ABDBA236FE6477F99907CF766A54BF7"/>
        <w:category>
          <w:name w:val="General"/>
          <w:gallery w:val="placeholder"/>
        </w:category>
        <w:types>
          <w:type w:val="bbPlcHdr"/>
        </w:types>
        <w:behaviors>
          <w:behavior w:val="content"/>
        </w:behaviors>
        <w:guid w:val="{A756F14B-0D6C-45F1-9A52-8CBEF040873A}"/>
      </w:docPartPr>
      <w:docPartBody>
        <w:p w:rsidR="00000000" w:rsidRDefault="00FB412E"/>
      </w:docPartBody>
    </w:docPart>
    <w:docPart>
      <w:docPartPr>
        <w:name w:val="1A805E34906F4C8F89DD4D216D92E2A1"/>
        <w:category>
          <w:name w:val="General"/>
          <w:gallery w:val="placeholder"/>
        </w:category>
        <w:types>
          <w:type w:val="bbPlcHdr"/>
        </w:types>
        <w:behaviors>
          <w:behavior w:val="content"/>
        </w:behaviors>
        <w:guid w:val="{E83D31EF-BDC1-4A7E-BDB3-E99AFC5C49DF}"/>
      </w:docPartPr>
      <w:docPartBody>
        <w:p w:rsidR="00000000" w:rsidRDefault="00FB412E"/>
      </w:docPartBody>
    </w:docPart>
    <w:docPart>
      <w:docPartPr>
        <w:name w:val="AB0987A1A7274EE0834AE12FF66FDD7C"/>
        <w:category>
          <w:name w:val="General"/>
          <w:gallery w:val="placeholder"/>
        </w:category>
        <w:types>
          <w:type w:val="bbPlcHdr"/>
        </w:types>
        <w:behaviors>
          <w:behavior w:val="content"/>
        </w:behaviors>
        <w:guid w:val="{F1898B09-9C3D-485D-86D0-D135CD355438}"/>
      </w:docPartPr>
      <w:docPartBody>
        <w:p w:rsidR="00000000" w:rsidRDefault="00FB412E"/>
      </w:docPartBody>
    </w:docPart>
    <w:docPart>
      <w:docPartPr>
        <w:name w:val="CEAFEBFC8EE34E5A90AD075CFABB1B85"/>
        <w:category>
          <w:name w:val="General"/>
          <w:gallery w:val="placeholder"/>
        </w:category>
        <w:types>
          <w:type w:val="bbPlcHdr"/>
        </w:types>
        <w:behaviors>
          <w:behavior w:val="content"/>
        </w:behaviors>
        <w:guid w:val="{83C2A5F1-05D1-41A7-AD60-E09982908107}"/>
      </w:docPartPr>
      <w:docPartBody>
        <w:p w:rsidR="00000000" w:rsidRDefault="00FB412E"/>
      </w:docPartBody>
    </w:docPart>
    <w:docPart>
      <w:docPartPr>
        <w:name w:val="D5D59704CFD5474EA75BE8EEBEAEBC63"/>
        <w:category>
          <w:name w:val="General"/>
          <w:gallery w:val="placeholder"/>
        </w:category>
        <w:types>
          <w:type w:val="bbPlcHdr"/>
        </w:types>
        <w:behaviors>
          <w:behavior w:val="content"/>
        </w:behaviors>
        <w:guid w:val="{899E77C6-225D-4EA6-A580-8E21FC753117}"/>
      </w:docPartPr>
      <w:docPartBody>
        <w:p w:rsidR="00000000" w:rsidRDefault="00FB412E"/>
      </w:docPartBody>
    </w:docPart>
    <w:docPart>
      <w:docPartPr>
        <w:name w:val="98728A2813C548E1A677658768E63F5E"/>
        <w:category>
          <w:name w:val="General"/>
          <w:gallery w:val="placeholder"/>
        </w:category>
        <w:types>
          <w:type w:val="bbPlcHdr"/>
        </w:types>
        <w:behaviors>
          <w:behavior w:val="content"/>
        </w:behaviors>
        <w:guid w:val="{91CA16DE-32A4-4F0A-AC47-F9281B9F3A09}"/>
      </w:docPartPr>
      <w:docPartBody>
        <w:p w:rsidR="00000000" w:rsidRDefault="00FB412E"/>
      </w:docPartBody>
    </w:docPart>
    <w:docPart>
      <w:docPartPr>
        <w:name w:val="3E8E06E33C9D4BBA9A4C8AC373DBF15C"/>
        <w:category>
          <w:name w:val="General"/>
          <w:gallery w:val="placeholder"/>
        </w:category>
        <w:types>
          <w:type w:val="bbPlcHdr"/>
        </w:types>
        <w:behaviors>
          <w:behavior w:val="content"/>
        </w:behaviors>
        <w:guid w:val="{DE012C92-DE45-42B6-96A7-81B89CAE1087}"/>
      </w:docPartPr>
      <w:docPartBody>
        <w:p w:rsidR="00000000" w:rsidRDefault="00FB412E"/>
      </w:docPartBody>
    </w:docPart>
    <w:docPart>
      <w:docPartPr>
        <w:name w:val="984E6B6E6D204ED384F11155F32C41E1"/>
        <w:category>
          <w:name w:val="General"/>
          <w:gallery w:val="placeholder"/>
        </w:category>
        <w:types>
          <w:type w:val="bbPlcHdr"/>
        </w:types>
        <w:behaviors>
          <w:behavior w:val="content"/>
        </w:behaviors>
        <w:guid w:val="{04924F41-B46A-4D4C-8A2B-E6B0569FD737}"/>
      </w:docPartPr>
      <w:docPartBody>
        <w:p w:rsidR="00000000" w:rsidRDefault="005E5DAC" w:rsidP="005E5DAC">
          <w:pPr>
            <w:pStyle w:val="984E6B6E6D204ED384F11155F32C41E1"/>
          </w:pPr>
          <w:r w:rsidRPr="00A30DD1">
            <w:rPr>
              <w:rStyle w:val="PlaceholderText"/>
            </w:rPr>
            <w:t>Click here to enter a date.</w:t>
          </w:r>
        </w:p>
      </w:docPartBody>
    </w:docPart>
    <w:docPart>
      <w:docPartPr>
        <w:name w:val="834D1813AEC9492DBB0D6E41E32BC1CB"/>
        <w:category>
          <w:name w:val="General"/>
          <w:gallery w:val="placeholder"/>
        </w:category>
        <w:types>
          <w:type w:val="bbPlcHdr"/>
        </w:types>
        <w:behaviors>
          <w:behavior w:val="content"/>
        </w:behaviors>
        <w:guid w:val="{1B10DC21-F719-4810-AA19-2D286D039B2F}"/>
      </w:docPartPr>
      <w:docPartBody>
        <w:p w:rsidR="00000000" w:rsidRDefault="00FB412E"/>
      </w:docPartBody>
    </w:docPart>
    <w:docPart>
      <w:docPartPr>
        <w:name w:val="854B96088AA0402FBA517DE9DAB6DD1F"/>
        <w:category>
          <w:name w:val="General"/>
          <w:gallery w:val="placeholder"/>
        </w:category>
        <w:types>
          <w:type w:val="bbPlcHdr"/>
        </w:types>
        <w:behaviors>
          <w:behavior w:val="content"/>
        </w:behaviors>
        <w:guid w:val="{0B4A6663-2606-4343-9DF0-CB221253DC2E}"/>
      </w:docPartPr>
      <w:docPartBody>
        <w:p w:rsidR="00000000" w:rsidRDefault="00FB412E"/>
      </w:docPartBody>
    </w:docPart>
    <w:docPart>
      <w:docPartPr>
        <w:name w:val="BC94BD1EA13F4832B36A640AF5D37E56"/>
        <w:category>
          <w:name w:val="General"/>
          <w:gallery w:val="placeholder"/>
        </w:category>
        <w:types>
          <w:type w:val="bbPlcHdr"/>
        </w:types>
        <w:behaviors>
          <w:behavior w:val="content"/>
        </w:behaviors>
        <w:guid w:val="{7772866B-C217-4C13-B586-8D83BC2E5B46}"/>
      </w:docPartPr>
      <w:docPartBody>
        <w:p w:rsidR="00000000" w:rsidRDefault="005E5DAC" w:rsidP="005E5DAC">
          <w:pPr>
            <w:pStyle w:val="BC94BD1EA13F4832B36A640AF5D37E56"/>
          </w:pPr>
          <w:r>
            <w:rPr>
              <w:rFonts w:eastAsia="Times New Roman" w:cs="Times New Roman"/>
              <w:bCs/>
              <w:szCs w:val="24"/>
            </w:rPr>
            <w:t xml:space="preserve"> </w:t>
          </w:r>
        </w:p>
      </w:docPartBody>
    </w:docPart>
    <w:docPart>
      <w:docPartPr>
        <w:name w:val="B0D5F57F814543F6AF5D18528A921688"/>
        <w:category>
          <w:name w:val="General"/>
          <w:gallery w:val="placeholder"/>
        </w:category>
        <w:types>
          <w:type w:val="bbPlcHdr"/>
        </w:types>
        <w:behaviors>
          <w:behavior w:val="content"/>
        </w:behaviors>
        <w:guid w:val="{49378EF2-ABB1-4A38-ABA0-E0DAD09D0DB5}"/>
      </w:docPartPr>
      <w:docPartBody>
        <w:p w:rsidR="00000000" w:rsidRDefault="00FB412E"/>
      </w:docPartBody>
    </w:docPart>
    <w:docPart>
      <w:docPartPr>
        <w:name w:val="AF52A1D418E24F71A9477BDE478A80A7"/>
        <w:category>
          <w:name w:val="General"/>
          <w:gallery w:val="placeholder"/>
        </w:category>
        <w:types>
          <w:type w:val="bbPlcHdr"/>
        </w:types>
        <w:behaviors>
          <w:behavior w:val="content"/>
        </w:behaviors>
        <w:guid w:val="{EB2F59D3-593C-40A4-95AA-C145E1AC8B9F}"/>
      </w:docPartPr>
      <w:docPartBody>
        <w:p w:rsidR="00000000" w:rsidRDefault="00FB41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5DA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412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D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5DAC"/>
    <w:rPr>
      <w:rFonts w:ascii="Times New Roman" w:hAnsi="Times New Roman"/>
      <w:sz w:val="24"/>
    </w:rPr>
  </w:style>
  <w:style w:type="paragraph" w:customStyle="1" w:styleId="487D89B4F8B34DB4967D41FE18F7F88D9">
    <w:name w:val="487D89B4F8B34DB4967D41FE18F7F88D9"/>
    <w:rsid w:val="005E5DAC"/>
    <w:rPr>
      <w:rFonts w:ascii="Times New Roman" w:hAnsi="Times New Roman"/>
      <w:sz w:val="24"/>
    </w:rPr>
  </w:style>
  <w:style w:type="paragraph" w:customStyle="1" w:styleId="AE2570ED5D764CD7AF9686706F550F4622">
    <w:name w:val="AE2570ED5D764CD7AF9686706F550F4622"/>
    <w:rsid w:val="005E5DAC"/>
    <w:pPr>
      <w:tabs>
        <w:tab w:val="center" w:pos="4680"/>
        <w:tab w:val="right" w:pos="9360"/>
      </w:tabs>
      <w:spacing w:after="0" w:line="240" w:lineRule="auto"/>
    </w:pPr>
    <w:rPr>
      <w:rFonts w:ascii="Times New Roman" w:hAnsi="Times New Roman"/>
      <w:sz w:val="24"/>
    </w:rPr>
  </w:style>
  <w:style w:type="paragraph" w:customStyle="1" w:styleId="984E6B6E6D204ED384F11155F32C41E1">
    <w:name w:val="984E6B6E6D204ED384F11155F32C41E1"/>
    <w:rsid w:val="005E5DAC"/>
    <w:pPr>
      <w:spacing w:after="160" w:line="259" w:lineRule="auto"/>
    </w:pPr>
  </w:style>
  <w:style w:type="paragraph" w:customStyle="1" w:styleId="BC94BD1EA13F4832B36A640AF5D37E56">
    <w:name w:val="BC94BD1EA13F4832B36A640AF5D37E56"/>
    <w:rsid w:val="005E5D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095CA1-CFA8-43AC-8445-7AFE19B4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1424</Words>
  <Characters>8122</Characters>
  <Application>Microsoft Office Word</Application>
  <DocSecurity>0</DocSecurity>
  <Lines>67</Lines>
  <Paragraphs>19</Paragraphs>
  <ScaleCrop>false</ScaleCrop>
  <Company>Texas Legislative Council</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2019-05-12T00:24:00Z</dcterms:modified>
</cp:coreProperties>
</file>

<file path=docProps/custom.xml><?xml version="1.0" encoding="utf-8"?>
<op:Properties xmlns:vt="http://schemas.openxmlformats.org/officeDocument/2006/docPropsVTypes" xmlns:op="http://schemas.openxmlformats.org/officeDocument/2006/custom-properties"/>
</file>