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B22E1D" w:rsidTr="00345119">
        <w:tc>
          <w:tcPr>
            <w:tcW w:w="9576" w:type="dxa"/>
            <w:noWrap/>
          </w:tcPr>
          <w:p w:rsidR="008423E4" w:rsidRPr="0022177D" w:rsidRDefault="00EE1817" w:rsidP="00345119">
            <w:pPr>
              <w:pStyle w:val="Heading1"/>
            </w:pPr>
            <w:bookmarkStart w:id="0" w:name="_GoBack"/>
            <w:bookmarkEnd w:id="0"/>
            <w:r w:rsidRPr="00631897">
              <w:t>BILL ANALYSIS</w:t>
            </w:r>
          </w:p>
        </w:tc>
      </w:tr>
    </w:tbl>
    <w:p w:rsidR="008423E4" w:rsidRPr="0022177D" w:rsidRDefault="00EE1817" w:rsidP="008423E4">
      <w:pPr>
        <w:jc w:val="center"/>
      </w:pPr>
    </w:p>
    <w:p w:rsidR="008423E4" w:rsidRPr="00B31F0E" w:rsidRDefault="00EE1817" w:rsidP="008423E4"/>
    <w:p w:rsidR="008423E4" w:rsidRPr="00742794" w:rsidRDefault="00EE1817" w:rsidP="008423E4">
      <w:pPr>
        <w:tabs>
          <w:tab w:val="right" w:pos="9360"/>
        </w:tabs>
      </w:pPr>
    </w:p>
    <w:tbl>
      <w:tblPr>
        <w:tblW w:w="0" w:type="auto"/>
        <w:tblLayout w:type="fixed"/>
        <w:tblLook w:val="01E0" w:firstRow="1" w:lastRow="1" w:firstColumn="1" w:lastColumn="1" w:noHBand="0" w:noVBand="0"/>
      </w:tblPr>
      <w:tblGrid>
        <w:gridCol w:w="9576"/>
      </w:tblGrid>
      <w:tr w:rsidR="00B22E1D" w:rsidTr="00345119">
        <w:tc>
          <w:tcPr>
            <w:tcW w:w="9576" w:type="dxa"/>
          </w:tcPr>
          <w:p w:rsidR="008423E4" w:rsidRPr="00861995" w:rsidRDefault="00EE1817" w:rsidP="00CD440D">
            <w:pPr>
              <w:jc w:val="right"/>
            </w:pPr>
            <w:r>
              <w:t>C.S.H.B. 2590</w:t>
            </w:r>
          </w:p>
        </w:tc>
      </w:tr>
      <w:tr w:rsidR="00B22E1D" w:rsidTr="00345119">
        <w:tc>
          <w:tcPr>
            <w:tcW w:w="9576" w:type="dxa"/>
          </w:tcPr>
          <w:p w:rsidR="008423E4" w:rsidRPr="00861995" w:rsidRDefault="00EE1817" w:rsidP="00ED368E">
            <w:pPr>
              <w:jc w:val="right"/>
            </w:pPr>
            <w:r>
              <w:t xml:space="preserve">By: </w:t>
            </w:r>
            <w:r>
              <w:t>Biedermann</w:t>
            </w:r>
          </w:p>
        </w:tc>
      </w:tr>
      <w:tr w:rsidR="00B22E1D" w:rsidTr="00345119">
        <w:tc>
          <w:tcPr>
            <w:tcW w:w="9576" w:type="dxa"/>
          </w:tcPr>
          <w:p w:rsidR="008423E4" w:rsidRPr="00861995" w:rsidRDefault="00EE1817" w:rsidP="00CD440D">
            <w:pPr>
              <w:jc w:val="right"/>
            </w:pPr>
            <w:r>
              <w:t>Land &amp; Resource Management</w:t>
            </w:r>
          </w:p>
        </w:tc>
      </w:tr>
      <w:tr w:rsidR="00B22E1D" w:rsidTr="00345119">
        <w:tc>
          <w:tcPr>
            <w:tcW w:w="9576" w:type="dxa"/>
          </w:tcPr>
          <w:p w:rsidR="008423E4" w:rsidRDefault="00EE1817" w:rsidP="00CD440D">
            <w:pPr>
              <w:jc w:val="right"/>
            </w:pPr>
            <w:r>
              <w:t>Committee Report (Substituted)</w:t>
            </w:r>
          </w:p>
        </w:tc>
      </w:tr>
    </w:tbl>
    <w:p w:rsidR="008423E4" w:rsidRDefault="00EE1817" w:rsidP="008423E4">
      <w:pPr>
        <w:tabs>
          <w:tab w:val="right" w:pos="9360"/>
        </w:tabs>
      </w:pPr>
    </w:p>
    <w:p w:rsidR="008423E4" w:rsidRDefault="00EE1817" w:rsidP="008423E4"/>
    <w:p w:rsidR="008423E4" w:rsidRDefault="00EE1817" w:rsidP="008423E4"/>
    <w:tbl>
      <w:tblPr>
        <w:tblW w:w="0" w:type="auto"/>
        <w:tblCellMar>
          <w:left w:w="115" w:type="dxa"/>
          <w:right w:w="115" w:type="dxa"/>
        </w:tblCellMar>
        <w:tblLook w:val="01E0" w:firstRow="1" w:lastRow="1" w:firstColumn="1" w:lastColumn="1" w:noHBand="0" w:noVBand="0"/>
      </w:tblPr>
      <w:tblGrid>
        <w:gridCol w:w="9576"/>
      </w:tblGrid>
      <w:tr w:rsidR="00B22E1D" w:rsidTr="00345119">
        <w:tc>
          <w:tcPr>
            <w:tcW w:w="9576" w:type="dxa"/>
          </w:tcPr>
          <w:p w:rsidR="008423E4" w:rsidRPr="00A8133F" w:rsidRDefault="00EE1817" w:rsidP="00D1220F">
            <w:pPr>
              <w:rPr>
                <w:b/>
              </w:rPr>
            </w:pPr>
            <w:r w:rsidRPr="009C1E9A">
              <w:rPr>
                <w:b/>
                <w:u w:val="single"/>
              </w:rPr>
              <w:t>BACKGROUND AND PURPOSE</w:t>
            </w:r>
            <w:r>
              <w:rPr>
                <w:b/>
              </w:rPr>
              <w:t xml:space="preserve"> </w:t>
            </w:r>
          </w:p>
          <w:p w:rsidR="008423E4" w:rsidRDefault="00EE1817" w:rsidP="00D1220F"/>
          <w:p w:rsidR="00DD36DE" w:rsidRDefault="00EE1817" w:rsidP="001E3651">
            <w:pPr>
              <w:pStyle w:val="Header"/>
              <w:jc w:val="both"/>
            </w:pPr>
            <w:r>
              <w:t>It has been suggested that</w:t>
            </w:r>
            <w:r>
              <w:t xml:space="preserve"> statutory</w:t>
            </w:r>
            <w:r>
              <w:t xml:space="preserve"> changes are needed regarding the appointment of temporary directors for a municipal utility district and the conversion of a </w:t>
            </w:r>
            <w:r w:rsidRPr="00DD36DE">
              <w:t>conservation and reclamation district</w:t>
            </w:r>
            <w:r>
              <w:t xml:space="preserve"> into a municipal utility district. C.S.H.B. 2590 seeks to address these issues by setting ou</w:t>
            </w:r>
            <w:r>
              <w:t xml:space="preserve">t provisions </w:t>
            </w:r>
            <w:r w:rsidRPr="00DD36DE">
              <w:t>relating to the administration, powers, and duties of a municipal utility district.</w:t>
            </w:r>
          </w:p>
          <w:p w:rsidR="008423E4" w:rsidRPr="00E26B13" w:rsidRDefault="00EE1817" w:rsidP="001E3651">
            <w:pPr>
              <w:rPr>
                <w:b/>
              </w:rPr>
            </w:pPr>
          </w:p>
        </w:tc>
      </w:tr>
      <w:tr w:rsidR="00B22E1D" w:rsidTr="00345119">
        <w:tc>
          <w:tcPr>
            <w:tcW w:w="9576" w:type="dxa"/>
          </w:tcPr>
          <w:p w:rsidR="0017725B" w:rsidRDefault="00EE1817" w:rsidP="001E3651">
            <w:pPr>
              <w:rPr>
                <w:b/>
                <w:u w:val="single"/>
              </w:rPr>
            </w:pPr>
            <w:r>
              <w:rPr>
                <w:b/>
                <w:u w:val="single"/>
              </w:rPr>
              <w:t>CRIMINAL JUSTICE IMPACT</w:t>
            </w:r>
          </w:p>
          <w:p w:rsidR="0017725B" w:rsidRDefault="00EE1817" w:rsidP="001E3651">
            <w:pPr>
              <w:rPr>
                <w:b/>
                <w:u w:val="single"/>
              </w:rPr>
            </w:pPr>
          </w:p>
          <w:p w:rsidR="00CE4818" w:rsidRPr="00CE4818" w:rsidRDefault="00EE1817" w:rsidP="001E3651">
            <w:pPr>
              <w:jc w:val="both"/>
            </w:pPr>
            <w:r>
              <w:t>It is the committee's opinion that this bill does not expressly create a criminal offense, increase the punishment for an existing c</w:t>
            </w:r>
            <w:r>
              <w:t>riminal offense or category of offenses, or change the eligibility of a person for community supervision, parole, or mandatory supervision.</w:t>
            </w:r>
          </w:p>
          <w:p w:rsidR="0017725B" w:rsidRPr="0017725B" w:rsidRDefault="00EE1817" w:rsidP="001E3651">
            <w:pPr>
              <w:rPr>
                <w:b/>
                <w:u w:val="single"/>
              </w:rPr>
            </w:pPr>
          </w:p>
        </w:tc>
      </w:tr>
      <w:tr w:rsidR="00B22E1D" w:rsidTr="00345119">
        <w:tc>
          <w:tcPr>
            <w:tcW w:w="9576" w:type="dxa"/>
          </w:tcPr>
          <w:p w:rsidR="008423E4" w:rsidRPr="00A8133F" w:rsidRDefault="00EE1817" w:rsidP="001E3651">
            <w:pPr>
              <w:rPr>
                <w:b/>
              </w:rPr>
            </w:pPr>
            <w:r w:rsidRPr="009C1E9A">
              <w:rPr>
                <w:b/>
                <w:u w:val="single"/>
              </w:rPr>
              <w:t>RULEMAKING AUTHORITY</w:t>
            </w:r>
            <w:r>
              <w:rPr>
                <w:b/>
              </w:rPr>
              <w:t xml:space="preserve"> </w:t>
            </w:r>
          </w:p>
          <w:p w:rsidR="008423E4" w:rsidRDefault="00EE1817" w:rsidP="001E3651"/>
          <w:p w:rsidR="00CE4818" w:rsidRDefault="00EE1817" w:rsidP="001E3651">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rsidR="008423E4" w:rsidRPr="00E21FDC" w:rsidRDefault="00EE1817" w:rsidP="001E3651">
            <w:pPr>
              <w:rPr>
                <w:b/>
              </w:rPr>
            </w:pPr>
          </w:p>
        </w:tc>
      </w:tr>
      <w:tr w:rsidR="00B22E1D" w:rsidTr="00345119">
        <w:tc>
          <w:tcPr>
            <w:tcW w:w="9576" w:type="dxa"/>
          </w:tcPr>
          <w:p w:rsidR="001E3651" w:rsidRDefault="00EE1817" w:rsidP="001E3651">
            <w:pPr>
              <w:rPr>
                <w:b/>
                <w:u w:val="single"/>
              </w:rPr>
            </w:pPr>
            <w:r w:rsidRPr="009C1E9A">
              <w:rPr>
                <w:b/>
                <w:u w:val="single"/>
              </w:rPr>
              <w:t>ANALYSIS</w:t>
            </w:r>
          </w:p>
          <w:p w:rsidR="008423E4" w:rsidRPr="00246EA4" w:rsidRDefault="00EE1817" w:rsidP="001E3651">
            <w:pPr>
              <w:rPr>
                <w:b/>
              </w:rPr>
            </w:pPr>
            <w:r>
              <w:rPr>
                <w:b/>
              </w:rPr>
              <w:t xml:space="preserve"> </w:t>
            </w:r>
          </w:p>
          <w:p w:rsidR="00CD44DD" w:rsidRDefault="00EE1817" w:rsidP="001E3651">
            <w:pPr>
              <w:pStyle w:val="Header"/>
              <w:jc w:val="both"/>
            </w:pPr>
            <w:r>
              <w:t>C.S.</w:t>
            </w:r>
            <w:r>
              <w:t xml:space="preserve">H.B. 2590 amends the Water Code to </w:t>
            </w:r>
            <w:r>
              <w:t xml:space="preserve">require </w:t>
            </w:r>
            <w:r>
              <w:t>a</w:t>
            </w:r>
            <w:r w:rsidRPr="00FC2656">
              <w:t xml:space="preserve"> majority of temporary directors</w:t>
            </w:r>
            <w:r>
              <w:t xml:space="preserve"> of a municipal utility district</w:t>
            </w:r>
            <w:r w:rsidRPr="00FC2656">
              <w:t xml:space="preserve"> </w:t>
            </w:r>
            <w:r>
              <w:t xml:space="preserve">appointed by </w:t>
            </w:r>
            <w:r>
              <w:t xml:space="preserve">the </w:t>
            </w:r>
            <w:r w:rsidRPr="00C724E0">
              <w:t xml:space="preserve">Texas Commission on Environmental </w:t>
            </w:r>
            <w:r w:rsidRPr="00C724E0">
              <w:t>Quality (TCEQ)</w:t>
            </w:r>
            <w:r>
              <w:t xml:space="preserve"> </w:t>
            </w:r>
            <w:r>
              <w:t xml:space="preserve">after granting </w:t>
            </w:r>
            <w:r w:rsidRPr="00C724E0">
              <w:t xml:space="preserve">a petition for the creation of </w:t>
            </w:r>
            <w:r>
              <w:t>the</w:t>
            </w:r>
            <w:r w:rsidRPr="00C724E0">
              <w:t xml:space="preserve"> district </w:t>
            </w:r>
            <w:r>
              <w:t xml:space="preserve">to </w:t>
            </w:r>
            <w:r w:rsidRPr="00FC2656">
              <w:t xml:space="preserve">be residents of </w:t>
            </w:r>
            <w:r>
              <w:t xml:space="preserve">the following: </w:t>
            </w:r>
          </w:p>
          <w:p w:rsidR="00CD44DD" w:rsidRDefault="00EE1817" w:rsidP="001E3651">
            <w:pPr>
              <w:pStyle w:val="Header"/>
              <w:numPr>
                <w:ilvl w:val="0"/>
                <w:numId w:val="1"/>
              </w:numPr>
              <w:spacing w:before="120" w:after="120"/>
              <w:jc w:val="both"/>
            </w:pPr>
            <w:r w:rsidRPr="00FC2656">
              <w:t>the county i</w:t>
            </w:r>
            <w:r>
              <w:t>n which the district is located;</w:t>
            </w:r>
          </w:p>
          <w:p w:rsidR="00CD44DD" w:rsidRDefault="00EE1817" w:rsidP="001E3651">
            <w:pPr>
              <w:pStyle w:val="Header"/>
              <w:numPr>
                <w:ilvl w:val="0"/>
                <w:numId w:val="1"/>
              </w:numPr>
              <w:spacing w:before="120" w:after="120"/>
              <w:jc w:val="both"/>
            </w:pPr>
            <w:r w:rsidRPr="001B5A20">
              <w:t xml:space="preserve">a county adjacent to </w:t>
            </w:r>
            <w:r w:rsidRPr="00CD44DD">
              <w:t>the county in which the district is located</w:t>
            </w:r>
            <w:r>
              <w:t>;</w:t>
            </w:r>
            <w:r>
              <w:t xml:space="preserve"> or</w:t>
            </w:r>
          </w:p>
          <w:p w:rsidR="00CD44DD" w:rsidRDefault="00EE1817" w:rsidP="001E3651">
            <w:pPr>
              <w:pStyle w:val="Header"/>
              <w:numPr>
                <w:ilvl w:val="0"/>
                <w:numId w:val="1"/>
              </w:numPr>
              <w:spacing w:before="120" w:after="120"/>
              <w:jc w:val="both"/>
            </w:pPr>
            <w:r>
              <w:t>if the district is located in a c</w:t>
            </w:r>
            <w:r>
              <w:t xml:space="preserve">ounty that is in a metropolitan statistical area designated by the U.S. Office of Management and Budget or its successor agency, a county in the same metropolitan statistical area as the county in which the district is located. </w:t>
            </w:r>
          </w:p>
          <w:p w:rsidR="00BE7241" w:rsidRDefault="00EE1817" w:rsidP="001E3651">
            <w:pPr>
              <w:pStyle w:val="Header"/>
              <w:jc w:val="both"/>
            </w:pPr>
            <w:r>
              <w:t>The bill authorizes TCEQ to</w:t>
            </w:r>
            <w:r>
              <w:t xml:space="preserve"> appoint temporary directors that do not meet these</w:t>
            </w:r>
            <w:r>
              <w:t xml:space="preserve"> residency</w:t>
            </w:r>
            <w:r>
              <w:t xml:space="preserve"> requirements if the petition or the application accompanying the petition provides that the petitioner made reasonable efforts but failed to identify candidates meeting those requirements who we</w:t>
            </w:r>
            <w:r>
              <w:t>re willing to serve as temporary directo</w:t>
            </w:r>
            <w:r w:rsidRPr="00CB0481">
              <w:t>rs.</w:t>
            </w:r>
            <w:r w:rsidRPr="00CB0481">
              <w:t xml:space="preserve"> </w:t>
            </w:r>
            <w:r>
              <w:t>T</w:t>
            </w:r>
            <w:r w:rsidRPr="00CB0481">
              <w:t>hese provisions of the bill</w:t>
            </w:r>
            <w:r w:rsidRPr="00CB0481">
              <w:t xml:space="preserve"> do not affect the entitlement of </w:t>
            </w:r>
            <w:r w:rsidRPr="00CB0481">
              <w:t>a temporary director serving</w:t>
            </w:r>
            <w:r w:rsidRPr="00CB0481">
              <w:t xml:space="preserve"> on the board of directors of a district</w:t>
            </w:r>
            <w:r w:rsidRPr="00CB0481">
              <w:t xml:space="preserve"> immediately before the bill's effective date </w:t>
            </w:r>
            <w:r w:rsidRPr="00CB0481">
              <w:t>to</w:t>
            </w:r>
            <w:r w:rsidRPr="00CB0481">
              <w:t xml:space="preserve"> continue to serve</w:t>
            </w:r>
            <w:r w:rsidRPr="00CB0481">
              <w:t xml:space="preserve"> as </w:t>
            </w:r>
            <w:r w:rsidRPr="00CB0481">
              <w:t xml:space="preserve">a temporary </w:t>
            </w:r>
            <w:r w:rsidRPr="00CB0481">
              <w:t>director</w:t>
            </w:r>
            <w:r w:rsidRPr="00CB0481">
              <w:t xml:space="preserve"> for</w:t>
            </w:r>
            <w:r w:rsidRPr="00CB0481">
              <w:t xml:space="preserve"> the remainder of the director's term.</w:t>
            </w:r>
            <w:r>
              <w:t xml:space="preserve"> </w:t>
            </w:r>
          </w:p>
          <w:p w:rsidR="00FC2656" w:rsidRDefault="00EE1817" w:rsidP="001E3651">
            <w:pPr>
              <w:pStyle w:val="Header"/>
              <w:tabs>
                <w:tab w:val="clear" w:pos="4320"/>
                <w:tab w:val="clear" w:pos="8640"/>
              </w:tabs>
              <w:jc w:val="both"/>
            </w:pPr>
          </w:p>
          <w:p w:rsidR="00786E6B" w:rsidRDefault="00EE1817" w:rsidP="001E3651">
            <w:pPr>
              <w:pStyle w:val="Header"/>
              <w:jc w:val="both"/>
            </w:pPr>
            <w:r>
              <w:t>C.S.</w:t>
            </w:r>
            <w:r>
              <w:t>H.B. 2590</w:t>
            </w:r>
            <w:r>
              <w:t xml:space="preserve"> removes the requirement that the governing body of a </w:t>
            </w:r>
            <w:r w:rsidRPr="001225C9">
              <w:t>conservation and reclamation district</w:t>
            </w:r>
            <w:r>
              <w:t xml:space="preserve"> that </w:t>
            </w:r>
            <w:r w:rsidRPr="001225C9">
              <w:t>desires to convert into a</w:t>
            </w:r>
            <w:r>
              <w:t xml:space="preserve"> municipal utility</w:t>
            </w:r>
            <w:r w:rsidRPr="001225C9">
              <w:t xml:space="preserve"> district adopt and enter in the minutes of the governing body a</w:t>
            </w:r>
            <w:r>
              <w:t xml:space="preserve"> certain</w:t>
            </w:r>
            <w:r w:rsidRPr="001225C9">
              <w:t xml:space="preserve"> resolution</w:t>
            </w:r>
            <w:r>
              <w:t xml:space="preserve"> that </w:t>
            </w:r>
            <w:r w:rsidRPr="001225C9">
              <w:t>request</w:t>
            </w:r>
            <w:r>
              <w:t>s</w:t>
            </w:r>
            <w:r w:rsidRPr="001225C9">
              <w:t xml:space="preserve"> </w:t>
            </w:r>
            <w:r>
              <w:t>TCEQ</w:t>
            </w:r>
            <w:r w:rsidRPr="001225C9">
              <w:t xml:space="preserve"> to hold a hearing on the question of the conversion</w:t>
            </w:r>
            <w:r>
              <w:t>. The bill requires the governing body instead to hold a hearing</w:t>
            </w:r>
            <w:r>
              <w:t>, after providing applicable notice</w:t>
            </w:r>
            <w:r>
              <w:t xml:space="preserve"> </w:t>
            </w:r>
            <w:r w:rsidRPr="00F67834">
              <w:t>in</w:t>
            </w:r>
            <w:r w:rsidRPr="00F67834">
              <w:t xml:space="preserve"> a newspaper with general circulation in the</w:t>
            </w:r>
            <w:r>
              <w:t xml:space="preserve"> district</w:t>
            </w:r>
            <w:r>
              <w:t>,</w:t>
            </w:r>
            <w:r>
              <w:t xml:space="preserve"> on the question of conversion</w:t>
            </w:r>
            <w:r>
              <w:t xml:space="preserve">. The bill requires the governing body </w:t>
            </w:r>
            <w:r>
              <w:t>to present a general description of any litigation that is pending against the district</w:t>
            </w:r>
            <w:r>
              <w:t xml:space="preserve"> at the hearing</w:t>
            </w:r>
            <w:r>
              <w:t xml:space="preserve">. </w:t>
            </w:r>
            <w:r w:rsidRPr="00786E6B">
              <w:t>T</w:t>
            </w:r>
            <w:r>
              <w:t>he bill authorizes the gover</w:t>
            </w:r>
            <w:r>
              <w:t>ning body, after the hearing, to adopt and enter in the minutes of the governing body a</w:t>
            </w:r>
            <w:r>
              <w:t xml:space="preserve"> certain</w:t>
            </w:r>
            <w:r>
              <w:t xml:space="preserve"> resolution </w:t>
            </w:r>
            <w:r>
              <w:t>regarding the</w:t>
            </w:r>
            <w:r>
              <w:t xml:space="preserve"> conversion </w:t>
            </w:r>
            <w:r>
              <w:t>that requests that TCEQ approve the conversion.</w:t>
            </w:r>
            <w:r>
              <w:t xml:space="preserve"> The bill requires a copy of the resolution to be</w:t>
            </w:r>
            <w:r>
              <w:t xml:space="preserve"> filed with TCEQ and</w:t>
            </w:r>
            <w:r>
              <w:t xml:space="preserve"> </w:t>
            </w:r>
            <w:r>
              <w:t xml:space="preserve">mailed </w:t>
            </w:r>
            <w:r>
              <w:t>to each state senator and representative who represents the area in which the district is located</w:t>
            </w:r>
            <w:r>
              <w:t>.</w:t>
            </w:r>
          </w:p>
          <w:p w:rsidR="008423E4" w:rsidRPr="00835628" w:rsidRDefault="00EE1817" w:rsidP="001E3651">
            <w:pPr>
              <w:rPr>
                <w:b/>
              </w:rPr>
            </w:pPr>
            <w:r>
              <w:rPr>
                <w:b/>
              </w:rPr>
              <w:t xml:space="preserve">   </w:t>
            </w:r>
          </w:p>
        </w:tc>
      </w:tr>
      <w:tr w:rsidR="00B22E1D" w:rsidTr="00345119">
        <w:tc>
          <w:tcPr>
            <w:tcW w:w="9576" w:type="dxa"/>
          </w:tcPr>
          <w:p w:rsidR="008423E4" w:rsidRPr="00A8133F" w:rsidRDefault="00EE1817" w:rsidP="001E3651">
            <w:pPr>
              <w:rPr>
                <w:b/>
              </w:rPr>
            </w:pPr>
            <w:r w:rsidRPr="009C1E9A">
              <w:rPr>
                <w:b/>
                <w:u w:val="single"/>
              </w:rPr>
              <w:t>EFFECTIVE DATE</w:t>
            </w:r>
            <w:r>
              <w:rPr>
                <w:b/>
              </w:rPr>
              <w:t xml:space="preserve"> </w:t>
            </w:r>
          </w:p>
          <w:p w:rsidR="008423E4" w:rsidRDefault="00EE1817" w:rsidP="001E3651"/>
          <w:p w:rsidR="008423E4" w:rsidRPr="003624F2" w:rsidRDefault="00EE1817" w:rsidP="001E3651">
            <w:pPr>
              <w:pStyle w:val="Header"/>
              <w:tabs>
                <w:tab w:val="clear" w:pos="4320"/>
                <w:tab w:val="clear" w:pos="8640"/>
              </w:tabs>
              <w:jc w:val="both"/>
            </w:pPr>
            <w:r>
              <w:t>September 1, 2019.</w:t>
            </w:r>
          </w:p>
          <w:p w:rsidR="008423E4" w:rsidRPr="00233FDB" w:rsidRDefault="00EE1817" w:rsidP="001E3651">
            <w:pPr>
              <w:rPr>
                <w:b/>
              </w:rPr>
            </w:pPr>
          </w:p>
        </w:tc>
      </w:tr>
      <w:tr w:rsidR="00B22E1D" w:rsidTr="00345119">
        <w:tc>
          <w:tcPr>
            <w:tcW w:w="9576" w:type="dxa"/>
          </w:tcPr>
          <w:p w:rsidR="00246EA4" w:rsidRDefault="00EE1817" w:rsidP="001E3651">
            <w:pPr>
              <w:jc w:val="both"/>
              <w:rPr>
                <w:b/>
                <w:u w:val="single"/>
              </w:rPr>
            </w:pPr>
            <w:r>
              <w:rPr>
                <w:b/>
                <w:u w:val="single"/>
              </w:rPr>
              <w:t>COMPARISON OF ORIGINAL AND SUBSTITUTE</w:t>
            </w:r>
          </w:p>
          <w:p w:rsidR="00A9429B" w:rsidRPr="00246EA4" w:rsidRDefault="00EE1817" w:rsidP="001E3651">
            <w:pPr>
              <w:jc w:val="both"/>
              <w:rPr>
                <w:b/>
                <w:u w:val="single"/>
              </w:rPr>
            </w:pPr>
          </w:p>
          <w:p w:rsidR="00246EA4" w:rsidRDefault="00EE1817" w:rsidP="001E3651">
            <w:pPr>
              <w:jc w:val="both"/>
            </w:pPr>
            <w:r>
              <w:t>While C.S.H.B. 2590 may differ from the original in minor or nonsubstantive</w:t>
            </w:r>
            <w:r>
              <w:t xml:space="preserve"> ways, the following summarizes the substantial differences between the introduced and committee substitute versions of the bill.</w:t>
            </w:r>
          </w:p>
          <w:p w:rsidR="00246EA4" w:rsidRDefault="00EE1817" w:rsidP="001E3651">
            <w:pPr>
              <w:jc w:val="both"/>
            </w:pPr>
          </w:p>
          <w:p w:rsidR="00652D01" w:rsidRDefault="00EE1817" w:rsidP="001E3651">
            <w:pPr>
              <w:jc w:val="both"/>
            </w:pPr>
            <w:r>
              <w:t xml:space="preserve">The substitute does not include a provision </w:t>
            </w:r>
            <w:r w:rsidRPr="00652D01">
              <w:t>requir</w:t>
            </w:r>
            <w:r>
              <w:t>ing</w:t>
            </w:r>
            <w:r w:rsidRPr="00652D01">
              <w:t xml:space="preserve"> a copy of the TCEQ</w:t>
            </w:r>
            <w:r w:rsidRPr="00652D01">
              <w:t xml:space="preserve"> order granting or denying a petition for the creation of a municipal utility district to be mailed to each city having extraterritorial jurisdiction in the county or counties in which the district is proposed to be located who requested an applicable hear</w:t>
            </w:r>
            <w:r w:rsidRPr="00652D01">
              <w:t>ing and to each state senator and representative who represent the area in which the district is or is proposed to be located.</w:t>
            </w:r>
            <w:r>
              <w:t xml:space="preserve"> The substitute includes a provision requiring a copy of a resolution regarding the conversion of a</w:t>
            </w:r>
            <w:r>
              <w:t>n applicable</w:t>
            </w:r>
            <w:r>
              <w:t xml:space="preserve"> district into a mu</w:t>
            </w:r>
            <w:r>
              <w:t xml:space="preserve">nicipal utility district to be </w:t>
            </w:r>
            <w:r w:rsidRPr="00E74108">
              <w:t>mailed to each state senator and representative who represents the area in which the district is located</w:t>
            </w:r>
            <w:r>
              <w:t>.</w:t>
            </w:r>
          </w:p>
          <w:p w:rsidR="00652D01" w:rsidRDefault="00EE1817" w:rsidP="001E3651">
            <w:pPr>
              <w:jc w:val="both"/>
            </w:pPr>
          </w:p>
          <w:p w:rsidR="00652D01" w:rsidRDefault="00EE1817" w:rsidP="001E3651">
            <w:pPr>
              <w:jc w:val="both"/>
            </w:pPr>
            <w:r>
              <w:t xml:space="preserve">The substitute </w:t>
            </w:r>
            <w:r>
              <w:t xml:space="preserve">revises the residency requirements </w:t>
            </w:r>
            <w:r>
              <w:t>for a majority of the persons appointed</w:t>
            </w:r>
            <w:r w:rsidRPr="00652D01">
              <w:t xml:space="preserve"> by TCEQ </w:t>
            </w:r>
            <w:r>
              <w:t xml:space="preserve">as </w:t>
            </w:r>
            <w:r w:rsidRPr="00652D01">
              <w:t>temporary directo</w:t>
            </w:r>
            <w:r w:rsidRPr="00652D01">
              <w:t>r</w:t>
            </w:r>
            <w:r>
              <w:t>s</w:t>
            </w:r>
            <w:r w:rsidRPr="00652D01">
              <w:t xml:space="preserve"> of </w:t>
            </w:r>
            <w:r>
              <w:t>a TCEQ-approved</w:t>
            </w:r>
            <w:r w:rsidRPr="00652D01">
              <w:t xml:space="preserve"> municipal utility district</w:t>
            </w:r>
            <w:r>
              <w:t xml:space="preserve"> </w:t>
            </w:r>
            <w:r w:rsidRPr="00652D01">
              <w:t xml:space="preserve">to </w:t>
            </w:r>
            <w:r>
              <w:t>include</w:t>
            </w:r>
            <w:r>
              <w:t>,</w:t>
            </w:r>
            <w:r>
              <w:t xml:space="preserve"> </w:t>
            </w:r>
            <w:r>
              <w:t xml:space="preserve">as eligible for appointment, </w:t>
            </w:r>
            <w:r w:rsidRPr="00652D01">
              <w:t>residents of</w:t>
            </w:r>
            <w:r>
              <w:t xml:space="preserve"> a county adjacent to the county in which the district is located or, if the district is located in a county that is in a metropolitan statistical area de</w:t>
            </w:r>
            <w:r>
              <w:t>signated by the U.S. Office of Management and Budget or its successor agency, a county in the same metropolitan statistical area as the county in which the district is located.</w:t>
            </w:r>
            <w:r>
              <w:t xml:space="preserve"> The substitute includes a provision providing for the conditions under which TC</w:t>
            </w:r>
            <w:r>
              <w:t xml:space="preserve">EQ may appoint temporary directors who do not meet applicable residency requirements. </w:t>
            </w:r>
          </w:p>
          <w:p w:rsidR="00A50244" w:rsidRDefault="00EE1817" w:rsidP="001E3651">
            <w:pPr>
              <w:jc w:val="both"/>
            </w:pPr>
          </w:p>
          <w:p w:rsidR="00FB3A77" w:rsidRDefault="00EE1817" w:rsidP="001E3651">
            <w:pPr>
              <w:jc w:val="both"/>
            </w:pPr>
            <w:r>
              <w:t xml:space="preserve">The substitute includes provisions changing the entity </w:t>
            </w:r>
            <w:r>
              <w:t>required</w:t>
            </w:r>
            <w:r>
              <w:t xml:space="preserve"> </w:t>
            </w:r>
            <w:r>
              <w:t xml:space="preserve">to </w:t>
            </w:r>
            <w:r>
              <w:t xml:space="preserve">hold a </w:t>
            </w:r>
            <w:r>
              <w:t xml:space="preserve">hearing on a proposed district </w:t>
            </w:r>
            <w:r>
              <w:t>conversion from TCEQ to the governing body of the district that</w:t>
            </w:r>
            <w:r>
              <w:t xml:space="preserve"> desires to convert into a municipal utility district.</w:t>
            </w:r>
          </w:p>
          <w:p w:rsidR="00C724E0" w:rsidRDefault="00EE1817" w:rsidP="001E3651">
            <w:pPr>
              <w:jc w:val="both"/>
            </w:pPr>
          </w:p>
          <w:p w:rsidR="00A50244" w:rsidRDefault="00EE1817" w:rsidP="001E3651">
            <w:pPr>
              <w:jc w:val="both"/>
            </w:pPr>
            <w:r>
              <w:t>The substitute does not include provisions requiring</w:t>
            </w:r>
            <w:r w:rsidRPr="00A50244">
              <w:t xml:space="preserve"> the governing body of a district that desires to convert into a municipal utility district to provide certain notice to property owners in the dist</w:t>
            </w:r>
            <w:r w:rsidRPr="00A50244">
              <w:t>rict of legal proceedings pending against the converting district, including status updates until final resolution of the proceedings and notice of that</w:t>
            </w:r>
            <w:r>
              <w:t xml:space="preserve"> </w:t>
            </w:r>
            <w:r w:rsidRPr="00A50244">
              <w:t>resolution.</w:t>
            </w:r>
            <w:r>
              <w:t xml:space="preserve"> The substitute includes a provision </w:t>
            </w:r>
            <w:r w:rsidRPr="00A50244">
              <w:t>requir</w:t>
            </w:r>
            <w:r>
              <w:t>ing</w:t>
            </w:r>
            <w:r w:rsidRPr="00A50244">
              <w:t xml:space="preserve"> </w:t>
            </w:r>
            <w:r>
              <w:t xml:space="preserve">instead </w:t>
            </w:r>
            <w:r w:rsidRPr="00A50244">
              <w:t>the governing body</w:t>
            </w:r>
            <w:r>
              <w:t xml:space="preserve"> of a converting di</w:t>
            </w:r>
            <w:r>
              <w:t>strict</w:t>
            </w:r>
            <w:r w:rsidRPr="00A50244">
              <w:t xml:space="preserve"> to present a general description of any litigation that is pending against the district at </w:t>
            </w:r>
            <w:r>
              <w:t>a conversion</w:t>
            </w:r>
            <w:r w:rsidRPr="00A50244">
              <w:t xml:space="preserve"> hearing.</w:t>
            </w:r>
          </w:p>
          <w:p w:rsidR="00760E29" w:rsidRDefault="00EE1817" w:rsidP="001E3651">
            <w:pPr>
              <w:jc w:val="both"/>
            </w:pPr>
          </w:p>
          <w:p w:rsidR="00760E29" w:rsidRDefault="00EE1817" w:rsidP="001E3651">
            <w:pPr>
              <w:jc w:val="both"/>
            </w:pPr>
            <w:r>
              <w:t xml:space="preserve">The substitute does not include a provision </w:t>
            </w:r>
            <w:r w:rsidRPr="00760E29">
              <w:t>requir</w:t>
            </w:r>
            <w:r>
              <w:t>ing</w:t>
            </w:r>
            <w:r w:rsidRPr="00760E29">
              <w:t xml:space="preserve"> written notice of a conversion hearing to be sent by mail to landowners who own p</w:t>
            </w:r>
            <w:r w:rsidRPr="00760E29">
              <w:t>roperty adjacent to the district's boundaries</w:t>
            </w:r>
            <w:r>
              <w:t xml:space="preserve">. The substitute includes a provision providing for notice of a conversion hearing to be published in a </w:t>
            </w:r>
            <w:r w:rsidRPr="00760E29">
              <w:t>newspaper with general circulation in the district</w:t>
            </w:r>
            <w:r>
              <w:t>.</w:t>
            </w:r>
          </w:p>
          <w:p w:rsidR="008D29DD" w:rsidRDefault="00EE1817" w:rsidP="001E3651">
            <w:pPr>
              <w:jc w:val="both"/>
            </w:pPr>
          </w:p>
          <w:p w:rsidR="00553EF2" w:rsidRDefault="00EE1817" w:rsidP="001E3651">
            <w:pPr>
              <w:jc w:val="both"/>
            </w:pPr>
            <w:r>
              <w:t xml:space="preserve">The substitute does not include a provision </w:t>
            </w:r>
            <w:r w:rsidRPr="008D29DD">
              <w:t>prohibit</w:t>
            </w:r>
            <w:r>
              <w:t>in</w:t>
            </w:r>
            <w:r>
              <w:t>g</w:t>
            </w:r>
            <w:r w:rsidRPr="008D29DD">
              <w:t xml:space="preserve"> a municipal utility</w:t>
            </w:r>
            <w:r>
              <w:t xml:space="preserve"> </w:t>
            </w:r>
            <w:r w:rsidRPr="008D29DD">
              <w:t>district from exercising the power of eminent domain outside the district boundaries to acquire a site or easement to discharge treated water or wastewater effluent.</w:t>
            </w:r>
          </w:p>
          <w:p w:rsidR="00246EA4" w:rsidRPr="00246EA4" w:rsidRDefault="00EE1817" w:rsidP="001E3651">
            <w:pPr>
              <w:jc w:val="both"/>
            </w:pPr>
          </w:p>
        </w:tc>
      </w:tr>
      <w:tr w:rsidR="00B22E1D" w:rsidTr="00345119">
        <w:tc>
          <w:tcPr>
            <w:tcW w:w="9576" w:type="dxa"/>
          </w:tcPr>
          <w:p w:rsidR="00ED368E" w:rsidRPr="009C1E9A" w:rsidRDefault="00EE1817" w:rsidP="001E3651">
            <w:pPr>
              <w:rPr>
                <w:b/>
                <w:u w:val="single"/>
              </w:rPr>
            </w:pPr>
          </w:p>
        </w:tc>
      </w:tr>
      <w:tr w:rsidR="00B22E1D" w:rsidTr="00345119">
        <w:tc>
          <w:tcPr>
            <w:tcW w:w="9576" w:type="dxa"/>
          </w:tcPr>
          <w:p w:rsidR="00ED368E" w:rsidRPr="00ED368E" w:rsidRDefault="00EE1817" w:rsidP="001E3651">
            <w:pPr>
              <w:jc w:val="both"/>
            </w:pPr>
          </w:p>
        </w:tc>
      </w:tr>
    </w:tbl>
    <w:p w:rsidR="008423E4" w:rsidRPr="00BE0E75" w:rsidRDefault="00EE1817" w:rsidP="008423E4">
      <w:pPr>
        <w:spacing w:line="480" w:lineRule="auto"/>
        <w:jc w:val="both"/>
        <w:rPr>
          <w:rFonts w:ascii="Arial" w:hAnsi="Arial"/>
          <w:sz w:val="16"/>
          <w:szCs w:val="16"/>
        </w:rPr>
      </w:pPr>
    </w:p>
    <w:p w:rsidR="004108C3" w:rsidRPr="00370D07" w:rsidRDefault="00EE1817" w:rsidP="008423E4">
      <w:pPr>
        <w:rPr>
          <w:sz w:val="2"/>
          <w:szCs w:val="2"/>
        </w:rPr>
      </w:pPr>
    </w:p>
    <w:sectPr w:rsidR="004108C3" w:rsidRPr="00370D07"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1817">
      <w:r>
        <w:separator/>
      </w:r>
    </w:p>
  </w:endnote>
  <w:endnote w:type="continuationSeparator" w:id="0">
    <w:p w:rsidR="00000000" w:rsidRDefault="00EE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E1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22E1D" w:rsidTr="009C1E9A">
      <w:trPr>
        <w:cantSplit/>
      </w:trPr>
      <w:tc>
        <w:tcPr>
          <w:tcW w:w="0" w:type="pct"/>
        </w:tcPr>
        <w:p w:rsidR="00137D90" w:rsidRDefault="00EE1817" w:rsidP="009C1E9A">
          <w:pPr>
            <w:pStyle w:val="Footer"/>
            <w:tabs>
              <w:tab w:val="clear" w:pos="8640"/>
              <w:tab w:val="right" w:pos="9360"/>
            </w:tabs>
          </w:pPr>
        </w:p>
      </w:tc>
      <w:tc>
        <w:tcPr>
          <w:tcW w:w="2395" w:type="pct"/>
        </w:tcPr>
        <w:p w:rsidR="00137D90" w:rsidRDefault="00EE1817" w:rsidP="009C1E9A">
          <w:pPr>
            <w:pStyle w:val="Footer"/>
            <w:tabs>
              <w:tab w:val="clear" w:pos="8640"/>
              <w:tab w:val="right" w:pos="9360"/>
            </w:tabs>
          </w:pPr>
        </w:p>
        <w:p w:rsidR="001A4310" w:rsidRDefault="00EE1817" w:rsidP="009C1E9A">
          <w:pPr>
            <w:pStyle w:val="Footer"/>
            <w:tabs>
              <w:tab w:val="clear" w:pos="8640"/>
              <w:tab w:val="right" w:pos="9360"/>
            </w:tabs>
          </w:pPr>
        </w:p>
        <w:p w:rsidR="00137D90" w:rsidRDefault="00EE1817" w:rsidP="009C1E9A">
          <w:pPr>
            <w:pStyle w:val="Footer"/>
            <w:tabs>
              <w:tab w:val="clear" w:pos="8640"/>
              <w:tab w:val="right" w:pos="9360"/>
            </w:tabs>
          </w:pPr>
        </w:p>
      </w:tc>
      <w:tc>
        <w:tcPr>
          <w:tcW w:w="2453" w:type="pct"/>
        </w:tcPr>
        <w:p w:rsidR="00137D90" w:rsidRDefault="00EE1817" w:rsidP="009C1E9A">
          <w:pPr>
            <w:pStyle w:val="Footer"/>
            <w:tabs>
              <w:tab w:val="clear" w:pos="8640"/>
              <w:tab w:val="right" w:pos="9360"/>
            </w:tabs>
            <w:jc w:val="right"/>
          </w:pPr>
        </w:p>
      </w:tc>
    </w:tr>
    <w:tr w:rsidR="00B22E1D" w:rsidTr="009C1E9A">
      <w:trPr>
        <w:cantSplit/>
      </w:trPr>
      <w:tc>
        <w:tcPr>
          <w:tcW w:w="0" w:type="pct"/>
        </w:tcPr>
        <w:p w:rsidR="00EC379B" w:rsidRDefault="00EE1817" w:rsidP="009C1E9A">
          <w:pPr>
            <w:pStyle w:val="Footer"/>
            <w:tabs>
              <w:tab w:val="clear" w:pos="8640"/>
              <w:tab w:val="right" w:pos="9360"/>
            </w:tabs>
          </w:pPr>
        </w:p>
      </w:tc>
      <w:tc>
        <w:tcPr>
          <w:tcW w:w="2395" w:type="pct"/>
        </w:tcPr>
        <w:p w:rsidR="00EC379B" w:rsidRPr="009C1E9A" w:rsidRDefault="00EE1817" w:rsidP="00CD440D">
          <w:pPr>
            <w:pStyle w:val="Footer"/>
            <w:tabs>
              <w:tab w:val="clear" w:pos="8640"/>
              <w:tab w:val="right" w:pos="9360"/>
            </w:tabs>
            <w:rPr>
              <w:rFonts w:ascii="Shruti" w:hAnsi="Shruti"/>
              <w:sz w:val="22"/>
            </w:rPr>
          </w:pPr>
          <w:r>
            <w:rPr>
              <w:rFonts w:ascii="Shruti" w:hAnsi="Shruti"/>
              <w:sz w:val="22"/>
            </w:rPr>
            <w:t>86R 29526</w:t>
          </w:r>
        </w:p>
      </w:tc>
      <w:tc>
        <w:tcPr>
          <w:tcW w:w="2453" w:type="pct"/>
        </w:tcPr>
        <w:p w:rsidR="00EC379B" w:rsidRDefault="00EE1817" w:rsidP="009C1E9A">
          <w:pPr>
            <w:pStyle w:val="Footer"/>
            <w:tabs>
              <w:tab w:val="clear" w:pos="8640"/>
              <w:tab w:val="right" w:pos="9360"/>
            </w:tabs>
            <w:jc w:val="right"/>
          </w:pPr>
          <w:r>
            <w:fldChar w:fldCharType="begin"/>
          </w:r>
          <w:r>
            <w:instrText xml:space="preserve"> DOCPROPERTY  OTID  \* MERGEFORMAT </w:instrText>
          </w:r>
          <w:r>
            <w:fldChar w:fldCharType="separate"/>
          </w:r>
          <w:r>
            <w:t>19.114.1318</w:t>
          </w:r>
          <w:r>
            <w:fldChar w:fldCharType="end"/>
          </w:r>
        </w:p>
      </w:tc>
    </w:tr>
    <w:tr w:rsidR="00B22E1D" w:rsidTr="009C1E9A">
      <w:trPr>
        <w:cantSplit/>
      </w:trPr>
      <w:tc>
        <w:tcPr>
          <w:tcW w:w="0" w:type="pct"/>
        </w:tcPr>
        <w:p w:rsidR="00EC379B" w:rsidRDefault="00EE1817" w:rsidP="009C1E9A">
          <w:pPr>
            <w:pStyle w:val="Footer"/>
            <w:tabs>
              <w:tab w:val="clear" w:pos="4320"/>
              <w:tab w:val="clear" w:pos="8640"/>
              <w:tab w:val="left" w:pos="2865"/>
            </w:tabs>
          </w:pPr>
        </w:p>
      </w:tc>
      <w:tc>
        <w:tcPr>
          <w:tcW w:w="2395" w:type="pct"/>
        </w:tcPr>
        <w:p w:rsidR="00EC379B" w:rsidRPr="009C1E9A" w:rsidRDefault="00EE1817" w:rsidP="009C1E9A">
          <w:pPr>
            <w:pStyle w:val="Footer"/>
            <w:tabs>
              <w:tab w:val="clear" w:pos="4320"/>
              <w:tab w:val="clear" w:pos="8640"/>
              <w:tab w:val="left" w:pos="2865"/>
            </w:tabs>
            <w:rPr>
              <w:rFonts w:ascii="Shruti" w:hAnsi="Shruti"/>
              <w:sz w:val="22"/>
            </w:rPr>
          </w:pPr>
          <w:r>
            <w:rPr>
              <w:rFonts w:ascii="Shruti" w:hAnsi="Shruti"/>
              <w:sz w:val="22"/>
            </w:rPr>
            <w:t>Substitute Document Number: 86R 27665</w:t>
          </w:r>
        </w:p>
      </w:tc>
      <w:tc>
        <w:tcPr>
          <w:tcW w:w="2453" w:type="pct"/>
        </w:tcPr>
        <w:p w:rsidR="00EC379B" w:rsidRDefault="00EE1817" w:rsidP="006D504F">
          <w:pPr>
            <w:pStyle w:val="Footer"/>
            <w:rPr>
              <w:rStyle w:val="PageNumber"/>
            </w:rPr>
          </w:pPr>
        </w:p>
        <w:p w:rsidR="00EC379B" w:rsidRDefault="00EE1817" w:rsidP="009C1E9A">
          <w:pPr>
            <w:pStyle w:val="Footer"/>
            <w:tabs>
              <w:tab w:val="clear" w:pos="8640"/>
              <w:tab w:val="right" w:pos="9360"/>
            </w:tabs>
            <w:jc w:val="right"/>
          </w:pPr>
        </w:p>
      </w:tc>
    </w:tr>
    <w:tr w:rsidR="00B22E1D" w:rsidTr="009C1E9A">
      <w:trPr>
        <w:cantSplit/>
        <w:trHeight w:val="323"/>
      </w:trPr>
      <w:tc>
        <w:tcPr>
          <w:tcW w:w="0" w:type="pct"/>
          <w:gridSpan w:val="3"/>
        </w:tcPr>
        <w:p w:rsidR="00EC379B" w:rsidRDefault="00EE181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EE1817" w:rsidP="009C1E9A">
          <w:pPr>
            <w:pStyle w:val="Footer"/>
            <w:tabs>
              <w:tab w:val="clear" w:pos="8640"/>
              <w:tab w:val="right" w:pos="9360"/>
            </w:tabs>
            <w:jc w:val="center"/>
          </w:pPr>
        </w:p>
      </w:tc>
    </w:tr>
  </w:tbl>
  <w:p w:rsidR="00EC379B" w:rsidRPr="00FF6F72" w:rsidRDefault="00EE1817"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E1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1817">
      <w:r>
        <w:separator/>
      </w:r>
    </w:p>
  </w:footnote>
  <w:footnote w:type="continuationSeparator" w:id="0">
    <w:p w:rsidR="00000000" w:rsidRDefault="00EE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E1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E1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E1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B514F"/>
    <w:multiLevelType w:val="hybridMultilevel"/>
    <w:tmpl w:val="2144861E"/>
    <w:lvl w:ilvl="0" w:tplc="79320130">
      <w:start w:val="1"/>
      <w:numFmt w:val="bullet"/>
      <w:lvlText w:val=""/>
      <w:lvlJc w:val="left"/>
      <w:pPr>
        <w:tabs>
          <w:tab w:val="num" w:pos="720"/>
        </w:tabs>
        <w:ind w:left="720" w:hanging="360"/>
      </w:pPr>
      <w:rPr>
        <w:rFonts w:ascii="Symbol" w:hAnsi="Symbol" w:hint="default"/>
      </w:rPr>
    </w:lvl>
    <w:lvl w:ilvl="1" w:tplc="DD3E12F4" w:tentative="1">
      <w:start w:val="1"/>
      <w:numFmt w:val="bullet"/>
      <w:lvlText w:val="o"/>
      <w:lvlJc w:val="left"/>
      <w:pPr>
        <w:ind w:left="1440" w:hanging="360"/>
      </w:pPr>
      <w:rPr>
        <w:rFonts w:ascii="Courier New" w:hAnsi="Courier New" w:cs="Courier New" w:hint="default"/>
      </w:rPr>
    </w:lvl>
    <w:lvl w:ilvl="2" w:tplc="633C7B76" w:tentative="1">
      <w:start w:val="1"/>
      <w:numFmt w:val="bullet"/>
      <w:lvlText w:val=""/>
      <w:lvlJc w:val="left"/>
      <w:pPr>
        <w:ind w:left="2160" w:hanging="360"/>
      </w:pPr>
      <w:rPr>
        <w:rFonts w:ascii="Wingdings" w:hAnsi="Wingdings" w:hint="default"/>
      </w:rPr>
    </w:lvl>
    <w:lvl w:ilvl="3" w:tplc="C38084DA" w:tentative="1">
      <w:start w:val="1"/>
      <w:numFmt w:val="bullet"/>
      <w:lvlText w:val=""/>
      <w:lvlJc w:val="left"/>
      <w:pPr>
        <w:ind w:left="2880" w:hanging="360"/>
      </w:pPr>
      <w:rPr>
        <w:rFonts w:ascii="Symbol" w:hAnsi="Symbol" w:hint="default"/>
      </w:rPr>
    </w:lvl>
    <w:lvl w:ilvl="4" w:tplc="22BE345C" w:tentative="1">
      <w:start w:val="1"/>
      <w:numFmt w:val="bullet"/>
      <w:lvlText w:val="o"/>
      <w:lvlJc w:val="left"/>
      <w:pPr>
        <w:ind w:left="3600" w:hanging="360"/>
      </w:pPr>
      <w:rPr>
        <w:rFonts w:ascii="Courier New" w:hAnsi="Courier New" w:cs="Courier New" w:hint="default"/>
      </w:rPr>
    </w:lvl>
    <w:lvl w:ilvl="5" w:tplc="1174DBFC" w:tentative="1">
      <w:start w:val="1"/>
      <w:numFmt w:val="bullet"/>
      <w:lvlText w:val=""/>
      <w:lvlJc w:val="left"/>
      <w:pPr>
        <w:ind w:left="4320" w:hanging="360"/>
      </w:pPr>
      <w:rPr>
        <w:rFonts w:ascii="Wingdings" w:hAnsi="Wingdings" w:hint="default"/>
      </w:rPr>
    </w:lvl>
    <w:lvl w:ilvl="6" w:tplc="F9C6E2B2" w:tentative="1">
      <w:start w:val="1"/>
      <w:numFmt w:val="bullet"/>
      <w:lvlText w:val=""/>
      <w:lvlJc w:val="left"/>
      <w:pPr>
        <w:ind w:left="5040" w:hanging="360"/>
      </w:pPr>
      <w:rPr>
        <w:rFonts w:ascii="Symbol" w:hAnsi="Symbol" w:hint="default"/>
      </w:rPr>
    </w:lvl>
    <w:lvl w:ilvl="7" w:tplc="61321686" w:tentative="1">
      <w:start w:val="1"/>
      <w:numFmt w:val="bullet"/>
      <w:lvlText w:val="o"/>
      <w:lvlJc w:val="left"/>
      <w:pPr>
        <w:ind w:left="5760" w:hanging="360"/>
      </w:pPr>
      <w:rPr>
        <w:rFonts w:ascii="Courier New" w:hAnsi="Courier New" w:cs="Courier New" w:hint="default"/>
      </w:rPr>
    </w:lvl>
    <w:lvl w:ilvl="8" w:tplc="6408E1B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1D"/>
    <w:rsid w:val="00B22E1D"/>
    <w:rsid w:val="00EE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EB3A32-0F0B-41AA-903D-0E4CC6D9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C2656"/>
    <w:rPr>
      <w:sz w:val="16"/>
      <w:szCs w:val="16"/>
    </w:rPr>
  </w:style>
  <w:style w:type="paragraph" w:styleId="CommentText">
    <w:name w:val="annotation text"/>
    <w:basedOn w:val="Normal"/>
    <w:link w:val="CommentTextChar"/>
    <w:semiHidden/>
    <w:unhideWhenUsed/>
    <w:rsid w:val="00FC2656"/>
    <w:rPr>
      <w:sz w:val="20"/>
      <w:szCs w:val="20"/>
    </w:rPr>
  </w:style>
  <w:style w:type="character" w:customStyle="1" w:styleId="CommentTextChar">
    <w:name w:val="Comment Text Char"/>
    <w:basedOn w:val="DefaultParagraphFont"/>
    <w:link w:val="CommentText"/>
    <w:semiHidden/>
    <w:rsid w:val="00FC2656"/>
  </w:style>
  <w:style w:type="paragraph" w:styleId="CommentSubject">
    <w:name w:val="annotation subject"/>
    <w:basedOn w:val="CommentText"/>
    <w:next w:val="CommentText"/>
    <w:link w:val="CommentSubjectChar"/>
    <w:semiHidden/>
    <w:unhideWhenUsed/>
    <w:rsid w:val="00FC2656"/>
    <w:rPr>
      <w:b/>
      <w:bCs/>
    </w:rPr>
  </w:style>
  <w:style w:type="character" w:customStyle="1" w:styleId="CommentSubjectChar">
    <w:name w:val="Comment Subject Char"/>
    <w:basedOn w:val="CommentTextChar"/>
    <w:link w:val="CommentSubject"/>
    <w:semiHidden/>
    <w:rsid w:val="00FC2656"/>
    <w:rPr>
      <w:b/>
      <w:bCs/>
    </w:rPr>
  </w:style>
  <w:style w:type="character" w:styleId="Hyperlink">
    <w:name w:val="Hyperlink"/>
    <w:basedOn w:val="DefaultParagraphFont"/>
    <w:uiPriority w:val="99"/>
    <w:semiHidden/>
    <w:unhideWhenUsed/>
    <w:rsid w:val="00CF2ABC"/>
    <w:rPr>
      <w:color w:val="0000FF"/>
      <w:u w:val="single"/>
    </w:rPr>
  </w:style>
  <w:style w:type="paragraph" w:styleId="HTMLPreformatted">
    <w:name w:val="HTML Preformatted"/>
    <w:basedOn w:val="Normal"/>
    <w:link w:val="HTMLPreformattedChar"/>
    <w:uiPriority w:val="99"/>
    <w:semiHidden/>
    <w:unhideWhenUsed/>
    <w:rsid w:val="00CF2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CF2ABC"/>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5361</Characters>
  <Application>Microsoft Office Word</Application>
  <DocSecurity>4</DocSecurity>
  <Lines>110</Lines>
  <Paragraphs>28</Paragraphs>
  <ScaleCrop>false</ScaleCrop>
  <HeadingPairs>
    <vt:vector size="2" baseType="variant">
      <vt:variant>
        <vt:lpstr>Title</vt:lpstr>
      </vt:variant>
      <vt:variant>
        <vt:i4>1</vt:i4>
      </vt:variant>
    </vt:vector>
  </HeadingPairs>
  <TitlesOfParts>
    <vt:vector size="1" baseType="lpstr">
      <vt:lpstr>BA - HB02590 (Committee Report (Substituted))</vt:lpstr>
    </vt:vector>
  </TitlesOfParts>
  <Company>State of Texas</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29526</dc:subject>
  <dc:creator>State of Texas</dc:creator>
  <dc:description>HB 2590 by Biedermann-(H)Land &amp; Resource Management (Substitute Document Number: 86R 27665)</dc:description>
  <cp:lastModifiedBy>Scotty Wimberley</cp:lastModifiedBy>
  <cp:revision>2</cp:revision>
  <cp:lastPrinted>2003-11-26T17:21:00Z</cp:lastPrinted>
  <dcterms:created xsi:type="dcterms:W3CDTF">2019-04-25T21:22:00Z</dcterms:created>
  <dcterms:modified xsi:type="dcterms:W3CDTF">2019-04-25T21:22:00Z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19.114.1318</vt:lpwstr>
  </property>
</Properties>
</file>