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17FE" w:rsidTr="00345119">
        <w:tc>
          <w:tcPr>
            <w:tcW w:w="9576" w:type="dxa"/>
            <w:noWrap/>
          </w:tcPr>
          <w:p w:rsidR="008423E4" w:rsidRPr="0022177D" w:rsidRDefault="00F05F0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5F03" w:rsidP="008423E4">
      <w:pPr>
        <w:jc w:val="center"/>
      </w:pPr>
    </w:p>
    <w:p w:rsidR="008423E4" w:rsidRPr="00B31F0E" w:rsidRDefault="00F05F03" w:rsidP="008423E4"/>
    <w:p w:rsidR="008423E4" w:rsidRPr="00742794" w:rsidRDefault="00F05F0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17FE" w:rsidTr="00345119">
        <w:tc>
          <w:tcPr>
            <w:tcW w:w="9576" w:type="dxa"/>
          </w:tcPr>
          <w:p w:rsidR="008423E4" w:rsidRPr="00861995" w:rsidRDefault="00F05F03" w:rsidP="00345119">
            <w:pPr>
              <w:jc w:val="right"/>
            </w:pPr>
            <w:r>
              <w:t>C.S.H.B. 2593</w:t>
            </w:r>
          </w:p>
        </w:tc>
      </w:tr>
      <w:tr w:rsidR="001217FE" w:rsidTr="00345119">
        <w:tc>
          <w:tcPr>
            <w:tcW w:w="9576" w:type="dxa"/>
          </w:tcPr>
          <w:p w:rsidR="008423E4" w:rsidRPr="00861995" w:rsidRDefault="00F05F03" w:rsidP="00D83F08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1217FE" w:rsidTr="00345119">
        <w:tc>
          <w:tcPr>
            <w:tcW w:w="9576" w:type="dxa"/>
          </w:tcPr>
          <w:p w:rsidR="008423E4" w:rsidRPr="00861995" w:rsidRDefault="00F05F03" w:rsidP="00345119">
            <w:pPr>
              <w:jc w:val="right"/>
            </w:pPr>
            <w:r>
              <w:t>Public Health</w:t>
            </w:r>
          </w:p>
        </w:tc>
      </w:tr>
      <w:tr w:rsidR="001217FE" w:rsidTr="00345119">
        <w:tc>
          <w:tcPr>
            <w:tcW w:w="9576" w:type="dxa"/>
          </w:tcPr>
          <w:p w:rsidR="008423E4" w:rsidRDefault="00F05F0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05F03" w:rsidP="008423E4">
      <w:pPr>
        <w:tabs>
          <w:tab w:val="right" w:pos="9360"/>
        </w:tabs>
      </w:pPr>
    </w:p>
    <w:p w:rsidR="008423E4" w:rsidRDefault="00F05F03" w:rsidP="008423E4"/>
    <w:p w:rsidR="008423E4" w:rsidRDefault="00F05F0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17FE" w:rsidTr="00345119">
        <w:tc>
          <w:tcPr>
            <w:tcW w:w="9576" w:type="dxa"/>
          </w:tcPr>
          <w:p w:rsidR="008423E4" w:rsidRPr="00A8133F" w:rsidRDefault="00F05F03" w:rsidP="00DC05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5F03" w:rsidP="00DC05EE"/>
          <w:p w:rsidR="008423E4" w:rsidRDefault="00F05F03" w:rsidP="00DC05EE">
            <w:pPr>
              <w:pStyle w:val="Header"/>
              <w:jc w:val="both"/>
            </w:pPr>
            <w:r>
              <w:t>The regulation of podiatrists and podiatric medical assistant</w:t>
            </w:r>
            <w:r>
              <w:t>s</w:t>
            </w:r>
            <w:r>
              <w:t xml:space="preserve"> has changed in recent years with regard </w:t>
            </w:r>
            <w:r>
              <w:t xml:space="preserve">to </w:t>
            </w:r>
            <w:r>
              <w:t xml:space="preserve">the authority under which certain procedures and persons are governed. </w:t>
            </w:r>
            <w:r>
              <w:t>It has been suggested that the authority of a podiatrist to delegate</w:t>
            </w:r>
            <w:r>
              <w:t xml:space="preserve"> certain podiatric medical acts to a qualified and properly trained podiatric medical assistant needs clarification. </w:t>
            </w:r>
            <w:r>
              <w:t>C.S.</w:t>
            </w:r>
            <w:r>
              <w:t xml:space="preserve">H.B. 2593 seeks to </w:t>
            </w:r>
            <w:r>
              <w:t xml:space="preserve">clarify that persons who perform podiatric radiologic procedures at the direction of a podiatrist are regulated by </w:t>
            </w:r>
            <w:r>
              <w:t xml:space="preserve">the </w:t>
            </w:r>
            <w:r>
              <w:t>Texas Department of Licensing and Regulation</w:t>
            </w:r>
            <w:r>
              <w:t xml:space="preserve"> and </w:t>
            </w:r>
            <w:r>
              <w:t>that</w:t>
            </w:r>
            <w:r>
              <w:t xml:space="preserve"> podiatrists may delegate certain podiatric medical acts to a</w:t>
            </w:r>
            <w:r>
              <w:t xml:space="preserve"> qualified and properly trained podiatric medical assistant. </w:t>
            </w:r>
          </w:p>
          <w:p w:rsidR="008423E4" w:rsidRPr="00E26B13" w:rsidRDefault="00F05F03" w:rsidP="00DC05EE">
            <w:pPr>
              <w:rPr>
                <w:b/>
              </w:rPr>
            </w:pPr>
          </w:p>
        </w:tc>
      </w:tr>
      <w:tr w:rsidR="001217FE" w:rsidTr="00345119">
        <w:tc>
          <w:tcPr>
            <w:tcW w:w="9576" w:type="dxa"/>
          </w:tcPr>
          <w:p w:rsidR="0017725B" w:rsidRDefault="00F05F03" w:rsidP="00DC05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5F03" w:rsidP="00DC05EE">
            <w:pPr>
              <w:rPr>
                <w:b/>
                <w:u w:val="single"/>
              </w:rPr>
            </w:pPr>
          </w:p>
          <w:p w:rsidR="00681F40" w:rsidRPr="00681F40" w:rsidRDefault="00F05F03" w:rsidP="00DC05E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:rsidR="0017725B" w:rsidRPr="0017725B" w:rsidRDefault="00F05F03" w:rsidP="00DC05EE">
            <w:pPr>
              <w:rPr>
                <w:b/>
                <w:u w:val="single"/>
              </w:rPr>
            </w:pPr>
          </w:p>
        </w:tc>
      </w:tr>
      <w:tr w:rsidR="001217FE" w:rsidTr="00345119">
        <w:tc>
          <w:tcPr>
            <w:tcW w:w="9576" w:type="dxa"/>
          </w:tcPr>
          <w:p w:rsidR="008423E4" w:rsidRPr="00A8133F" w:rsidRDefault="00F05F03" w:rsidP="00DC05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5F03" w:rsidP="00DC05EE"/>
          <w:p w:rsidR="00681F40" w:rsidRDefault="00F05F03" w:rsidP="00DC05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Commission of Licensing and </w:t>
            </w:r>
            <w:r>
              <w:t>Regulation in SECTION 4 of this bill.</w:t>
            </w:r>
          </w:p>
          <w:p w:rsidR="008423E4" w:rsidRPr="00E21FDC" w:rsidRDefault="00F05F03" w:rsidP="00DC05EE">
            <w:pPr>
              <w:rPr>
                <w:b/>
              </w:rPr>
            </w:pPr>
          </w:p>
        </w:tc>
      </w:tr>
      <w:tr w:rsidR="001217FE" w:rsidTr="00345119">
        <w:tc>
          <w:tcPr>
            <w:tcW w:w="9576" w:type="dxa"/>
          </w:tcPr>
          <w:p w:rsidR="008423E4" w:rsidRPr="00A8133F" w:rsidRDefault="00F05F03" w:rsidP="00DC05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5F03" w:rsidP="00DC05EE"/>
          <w:p w:rsidR="002B3982" w:rsidRDefault="00F05F03" w:rsidP="00DC05EE">
            <w:pPr>
              <w:pStyle w:val="Header"/>
              <w:jc w:val="both"/>
            </w:pPr>
            <w:r>
              <w:t>C.S.</w:t>
            </w:r>
            <w:r>
              <w:t xml:space="preserve">H.B. 2593 amends the Occupations Code to </w:t>
            </w:r>
            <w:r>
              <w:t>authorize a podiatrist to delegate to a qualified and properly trained podiatric medical assistant acting under the podiatrist</w:t>
            </w:r>
            <w:r>
              <w:t>'</w:t>
            </w:r>
            <w:r>
              <w:t>s supervision any podiatric medic</w:t>
            </w:r>
            <w:r>
              <w:t xml:space="preserve">al act that a reasonable and prudent podiatrist would find within the scope of sound medical judgment to delegate </w:t>
            </w:r>
            <w:r>
              <w:t>under the following conditions:</w:t>
            </w:r>
          </w:p>
          <w:p w:rsidR="002B3982" w:rsidRDefault="00F05F03" w:rsidP="00DC05E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D72088">
              <w:t>in the opinion of the delegating podiatrist,</w:t>
            </w:r>
            <w:r>
              <w:t xml:space="preserve"> </w:t>
            </w:r>
            <w:r w:rsidRPr="00D72088">
              <w:t>the medical act can be properly and safely performed by the podia</w:t>
            </w:r>
            <w:r w:rsidRPr="00D72088">
              <w:t xml:space="preserve">tric medical assistant to whom the podiatric medical act is delegated and is performed in a customary manner and not in violation of any other </w:t>
            </w:r>
            <w:r>
              <w:t>statute; and</w:t>
            </w:r>
          </w:p>
          <w:p w:rsidR="002B3982" w:rsidRDefault="00F05F03" w:rsidP="00DC05E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406DE6">
              <w:t>the podiatric medical assistant to whom the podiatric medical act is delegated does not represent to</w:t>
            </w:r>
            <w:r w:rsidRPr="00406DE6">
              <w:t xml:space="preserve"> the public that the medical assistant is authorized to practice podiatry</w:t>
            </w:r>
            <w:r>
              <w:t xml:space="preserve">. </w:t>
            </w:r>
          </w:p>
          <w:p w:rsidR="008423E4" w:rsidRDefault="00F05F03" w:rsidP="00DC05EE">
            <w:pPr>
              <w:pStyle w:val="Header"/>
              <w:jc w:val="both"/>
            </w:pPr>
            <w:r>
              <w:t xml:space="preserve">The bill </w:t>
            </w:r>
            <w:r>
              <w:t>makes</w:t>
            </w:r>
            <w:r>
              <w:t xml:space="preserve"> a delegating podiatrist responsible for a podiatric medical act performed by the podiatric medical assistant to whom the podiatrist delegates the act.</w:t>
            </w:r>
          </w:p>
          <w:p w:rsidR="00591155" w:rsidRDefault="00F05F03" w:rsidP="00DC05EE">
            <w:pPr>
              <w:pStyle w:val="Header"/>
              <w:jc w:val="both"/>
            </w:pPr>
          </w:p>
          <w:p w:rsidR="00905274" w:rsidRDefault="00F05F03" w:rsidP="00DC05EE">
            <w:pPr>
              <w:pStyle w:val="Header"/>
              <w:jc w:val="both"/>
            </w:pPr>
            <w:r>
              <w:t>C.S.</w:t>
            </w:r>
            <w:r>
              <w:t>H.B. 2593</w:t>
            </w:r>
            <w:r>
              <w:t xml:space="preserve"> expressly does not require a person to hold a certificate </w:t>
            </w:r>
            <w:r>
              <w:t xml:space="preserve">issued under the </w:t>
            </w:r>
            <w:r w:rsidRPr="001F5407">
              <w:t>Medical Radiologic Technologist Certification Act</w:t>
            </w:r>
            <w:r>
              <w:t xml:space="preserve"> </w:t>
            </w:r>
            <w:r>
              <w:t>to perform a radiologic procedure if the procedure is performed under the supervision of a podiatrist and the person is registered</w:t>
            </w:r>
            <w:r>
              <w:t xml:space="preserve"> with the Texas Department of Licensing and Regulation</w:t>
            </w:r>
            <w:r>
              <w:t xml:space="preserve"> (TDLR)</w:t>
            </w:r>
            <w:r>
              <w:t xml:space="preserve"> to assist a podiatrist and complies with rules adopted under the bill's provisions.</w:t>
            </w:r>
            <w:r>
              <w:t xml:space="preserve"> The bill</w:t>
            </w:r>
            <w:r>
              <w:t xml:space="preserve"> </w:t>
            </w:r>
            <w:r>
              <w:t>requires rules adopted by the Texas Commission of Licensing and Regulation</w:t>
            </w:r>
            <w:r>
              <w:t xml:space="preserve"> (TCLR)</w:t>
            </w:r>
            <w:r>
              <w:t xml:space="preserve"> </w:t>
            </w:r>
            <w:r>
              <w:t>regulating the mann</w:t>
            </w:r>
            <w:r>
              <w:t xml:space="preserve">er in </w:t>
            </w:r>
            <w:r>
              <w:t xml:space="preserve">which </w:t>
            </w:r>
            <w:r>
              <w:t>a</w:t>
            </w:r>
            <w:r>
              <w:t xml:space="preserve"> podiatrist</w:t>
            </w:r>
            <w:r>
              <w:t xml:space="preserve"> may order, </w:t>
            </w:r>
            <w:r w:rsidRPr="000729DF">
              <w:t xml:space="preserve">instruct, or direct another authorized person in the performance of a radiologic procedure </w:t>
            </w:r>
            <w:r>
              <w:t>to</w:t>
            </w:r>
            <w:r>
              <w:t>:</w:t>
            </w:r>
            <w:r>
              <w:t xml:space="preserve"> </w:t>
            </w:r>
          </w:p>
          <w:p w:rsidR="00905274" w:rsidRDefault="00F05F03" w:rsidP="00DC05EE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require an authorized person who performs radiologic procedures under the delegation of a podiatrist, other than a registere</w:t>
            </w:r>
            <w:r>
              <w:t>d nurse, to register with TDLR;</w:t>
            </w:r>
          </w:p>
          <w:p w:rsidR="00FC2BB3" w:rsidRDefault="00F05F03" w:rsidP="00DC05EE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establish reasonable and necessary fees to cover the administrative costs incurred by TDLR in administering the registration program; </w:t>
            </w:r>
          </w:p>
          <w:p w:rsidR="00905274" w:rsidRDefault="00F05F03" w:rsidP="00DC05EE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FC2BB3">
              <w:t xml:space="preserve">establish grounds for the suspension, revocation, or nonrenewal of a registration </w:t>
            </w:r>
            <w:r>
              <w:t xml:space="preserve">issued under </w:t>
            </w:r>
            <w:r>
              <w:t>the program</w:t>
            </w:r>
            <w:r>
              <w:t>; and</w:t>
            </w:r>
          </w:p>
          <w:p w:rsidR="00905274" w:rsidRDefault="00F05F03" w:rsidP="00DC05EE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establish standards for training and supervising the operators of the equipment.</w:t>
            </w:r>
          </w:p>
          <w:p w:rsidR="00995FF3" w:rsidRDefault="00F05F03" w:rsidP="00DC05EE">
            <w:pPr>
              <w:pStyle w:val="Header"/>
              <w:spacing w:before="120"/>
              <w:jc w:val="both"/>
            </w:pPr>
            <w:r>
              <w:t xml:space="preserve">The bill authorizes TCLR, in adopting </w:t>
            </w:r>
            <w:r>
              <w:t xml:space="preserve">the </w:t>
            </w:r>
            <w:r>
              <w:t>rules, to take into account whether the radiologic procedure will be performed by a registered nurse.</w:t>
            </w:r>
          </w:p>
          <w:p w:rsidR="008423E4" w:rsidRPr="00835628" w:rsidRDefault="00F05F03" w:rsidP="00DC05EE">
            <w:pPr>
              <w:rPr>
                <w:b/>
              </w:rPr>
            </w:pPr>
          </w:p>
        </w:tc>
      </w:tr>
      <w:tr w:rsidR="001217FE" w:rsidTr="00345119">
        <w:tc>
          <w:tcPr>
            <w:tcW w:w="9576" w:type="dxa"/>
          </w:tcPr>
          <w:p w:rsidR="008423E4" w:rsidRPr="00A8133F" w:rsidRDefault="00F05F03" w:rsidP="00DC05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5F03" w:rsidP="00DC05EE"/>
          <w:p w:rsidR="008423E4" w:rsidRPr="003624F2" w:rsidRDefault="00F05F03" w:rsidP="00DC05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05F03" w:rsidP="00DC05EE">
            <w:pPr>
              <w:rPr>
                <w:b/>
              </w:rPr>
            </w:pPr>
          </w:p>
        </w:tc>
      </w:tr>
      <w:tr w:rsidR="001217FE" w:rsidTr="00345119">
        <w:tc>
          <w:tcPr>
            <w:tcW w:w="9576" w:type="dxa"/>
          </w:tcPr>
          <w:p w:rsidR="00D83F08" w:rsidRDefault="00F05F03" w:rsidP="00DC05E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230A9" w:rsidRDefault="00F05F03" w:rsidP="00DC05EE">
            <w:pPr>
              <w:jc w:val="both"/>
            </w:pPr>
          </w:p>
          <w:p w:rsidR="004230A9" w:rsidRDefault="00F05F03" w:rsidP="00DC05EE">
            <w:pPr>
              <w:jc w:val="both"/>
            </w:pPr>
            <w:r>
              <w:t>C.S.H.B. 2593 differs from the original in minor or nonsubstantive ways to make technical corrections.</w:t>
            </w:r>
          </w:p>
          <w:p w:rsidR="004230A9" w:rsidRPr="004230A9" w:rsidRDefault="00F05F03" w:rsidP="00DC05EE">
            <w:pPr>
              <w:jc w:val="both"/>
            </w:pPr>
          </w:p>
        </w:tc>
      </w:tr>
      <w:tr w:rsidR="001217FE" w:rsidTr="00345119">
        <w:tc>
          <w:tcPr>
            <w:tcW w:w="9576" w:type="dxa"/>
          </w:tcPr>
          <w:p w:rsidR="00D83F08" w:rsidRPr="009C1E9A" w:rsidRDefault="00F05F03" w:rsidP="00DC05EE">
            <w:pPr>
              <w:rPr>
                <w:b/>
                <w:u w:val="single"/>
              </w:rPr>
            </w:pPr>
          </w:p>
        </w:tc>
      </w:tr>
      <w:tr w:rsidR="001217FE" w:rsidTr="00345119">
        <w:tc>
          <w:tcPr>
            <w:tcW w:w="9576" w:type="dxa"/>
          </w:tcPr>
          <w:p w:rsidR="00D83F08" w:rsidRPr="00D83F08" w:rsidRDefault="00F05F03" w:rsidP="00DC05EE">
            <w:pPr>
              <w:jc w:val="both"/>
            </w:pPr>
          </w:p>
        </w:tc>
      </w:tr>
    </w:tbl>
    <w:p w:rsidR="008423E4" w:rsidRPr="00BE0E75" w:rsidRDefault="00F05F0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5F0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5F03">
      <w:r>
        <w:separator/>
      </w:r>
    </w:p>
  </w:endnote>
  <w:endnote w:type="continuationSeparator" w:id="0">
    <w:p w:rsidR="00000000" w:rsidRDefault="00F0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5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17FE" w:rsidTr="009C1E9A">
      <w:trPr>
        <w:cantSplit/>
      </w:trPr>
      <w:tc>
        <w:tcPr>
          <w:tcW w:w="0" w:type="pct"/>
        </w:tcPr>
        <w:p w:rsidR="00137D90" w:rsidRDefault="00F05F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5F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5F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5F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5F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17FE" w:rsidTr="009C1E9A">
      <w:trPr>
        <w:cantSplit/>
      </w:trPr>
      <w:tc>
        <w:tcPr>
          <w:tcW w:w="0" w:type="pct"/>
        </w:tcPr>
        <w:p w:rsidR="00EC379B" w:rsidRDefault="00F05F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5F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26682</w:t>
          </w:r>
        </w:p>
      </w:tc>
      <w:tc>
        <w:tcPr>
          <w:tcW w:w="2453" w:type="pct"/>
        </w:tcPr>
        <w:p w:rsidR="00EC379B" w:rsidRDefault="00F05F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19.102.1371</w:t>
          </w:r>
          <w:r>
            <w:fldChar w:fldCharType="end"/>
          </w:r>
        </w:p>
      </w:tc>
    </w:tr>
    <w:tr w:rsidR="001217FE" w:rsidTr="009C1E9A">
      <w:trPr>
        <w:cantSplit/>
      </w:trPr>
      <w:tc>
        <w:tcPr>
          <w:tcW w:w="0" w:type="pct"/>
        </w:tcPr>
        <w:p w:rsidR="00EC379B" w:rsidRDefault="00F05F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5F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20267</w:t>
          </w:r>
        </w:p>
      </w:tc>
      <w:tc>
        <w:tcPr>
          <w:tcW w:w="2453" w:type="pct"/>
        </w:tcPr>
        <w:p w:rsidR="00EC379B" w:rsidRDefault="00F05F03" w:rsidP="006D504F">
          <w:pPr>
            <w:pStyle w:val="Footer"/>
            <w:rPr>
              <w:rStyle w:val="PageNumber"/>
            </w:rPr>
          </w:pPr>
        </w:p>
        <w:p w:rsidR="00EC379B" w:rsidRDefault="00F05F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17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5F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05F0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5F0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5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5F03">
      <w:r>
        <w:separator/>
      </w:r>
    </w:p>
  </w:footnote>
  <w:footnote w:type="continuationSeparator" w:id="0">
    <w:p w:rsidR="00000000" w:rsidRDefault="00F0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5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5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5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4A67"/>
    <w:multiLevelType w:val="hybridMultilevel"/>
    <w:tmpl w:val="418E3AA0"/>
    <w:lvl w:ilvl="0" w:tplc="8FB46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C2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82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C1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68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A9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2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C8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6C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2878"/>
    <w:multiLevelType w:val="hybridMultilevel"/>
    <w:tmpl w:val="6EB2384C"/>
    <w:lvl w:ilvl="0" w:tplc="08225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82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E9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E3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23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A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0D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AF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5A94"/>
    <w:multiLevelType w:val="hybridMultilevel"/>
    <w:tmpl w:val="6136B9D2"/>
    <w:lvl w:ilvl="0" w:tplc="565C5A8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67E03D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2D00D8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C5A52E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A60864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C58312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144EC9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E16AD3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0CCC95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D603C5"/>
    <w:multiLevelType w:val="hybridMultilevel"/>
    <w:tmpl w:val="8766DDA2"/>
    <w:lvl w:ilvl="0" w:tplc="E0C0A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4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2F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AB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A2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8E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8D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60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6C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E"/>
    <w:rsid w:val="001217FE"/>
    <w:rsid w:val="00F0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387132-2E61-4089-AFF6-B6814BB6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6D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6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6D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DE6"/>
    <w:rPr>
      <w:b/>
      <w:bCs/>
    </w:rPr>
  </w:style>
  <w:style w:type="character" w:styleId="Hyperlink">
    <w:name w:val="Hyperlink"/>
    <w:basedOn w:val="DefaultParagraphFont"/>
    <w:unhideWhenUsed/>
    <w:rsid w:val="00850E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50E6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30A9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4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45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3142</Characters>
  <Application>Microsoft Office Word</Application>
  <DocSecurity>4</DocSecurity>
  <Lines>77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HB02593 (Committee Report (Substituted))</vt:lpstr>
    </vt:vector>
  </TitlesOfParts>
  <Company>State of Texas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26682</dc:subject>
  <dc:creator>State of Texas</dc:creator>
  <dc:description>HB 2593 by Coleman-(H)Public Health (Substitute Document Number: 86R 20267)</dc:description>
  <cp:lastModifiedBy>Scotty Wimberley</cp:lastModifiedBy>
  <cp:revision>2</cp:revision>
  <cp:lastPrinted>2003-11-26T17:21:00Z</cp:lastPrinted>
  <dcterms:created xsi:type="dcterms:W3CDTF">2019-04-16T01:52:00Z</dcterms:created>
  <dcterms:modified xsi:type="dcterms:W3CDTF">2019-04-16T01:52:00Z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19.102.1371</vt:lpwstr>
  </property>
</Properties>
</file>