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5302" w:rsidTr="00345119">
        <w:tc>
          <w:tcPr>
            <w:tcW w:w="9576" w:type="dxa"/>
            <w:noWrap/>
          </w:tcPr>
          <w:p w:rsidR="008423E4" w:rsidRPr="0022177D" w:rsidRDefault="008E624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624E" w:rsidP="008423E4">
      <w:pPr>
        <w:jc w:val="center"/>
      </w:pPr>
    </w:p>
    <w:p w:rsidR="008423E4" w:rsidRPr="00B31F0E" w:rsidRDefault="008E624E" w:rsidP="008423E4"/>
    <w:p w:rsidR="008423E4" w:rsidRPr="00742794" w:rsidRDefault="008E62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5302" w:rsidTr="00345119">
        <w:tc>
          <w:tcPr>
            <w:tcW w:w="9576" w:type="dxa"/>
          </w:tcPr>
          <w:p w:rsidR="008423E4" w:rsidRPr="00861995" w:rsidRDefault="008E624E" w:rsidP="00406560">
            <w:pPr>
              <w:jc w:val="right"/>
            </w:pPr>
            <w:r>
              <w:t>C.S.H.B. 2613</w:t>
            </w:r>
          </w:p>
        </w:tc>
      </w:tr>
      <w:tr w:rsidR="00395302" w:rsidTr="00345119">
        <w:tc>
          <w:tcPr>
            <w:tcW w:w="9576" w:type="dxa"/>
          </w:tcPr>
          <w:p w:rsidR="008423E4" w:rsidRPr="00861995" w:rsidRDefault="008E624E" w:rsidP="003D7A08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395302" w:rsidTr="00345119">
        <w:tc>
          <w:tcPr>
            <w:tcW w:w="9576" w:type="dxa"/>
          </w:tcPr>
          <w:p w:rsidR="008423E4" w:rsidRPr="00861995" w:rsidRDefault="008E624E" w:rsidP="00345119">
            <w:pPr>
              <w:jc w:val="right"/>
            </w:pPr>
            <w:r>
              <w:t>Criminal Jurisprudence</w:t>
            </w:r>
          </w:p>
        </w:tc>
      </w:tr>
      <w:tr w:rsidR="00395302" w:rsidTr="00345119">
        <w:tc>
          <w:tcPr>
            <w:tcW w:w="9576" w:type="dxa"/>
          </w:tcPr>
          <w:p w:rsidR="008423E4" w:rsidRDefault="008E624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E624E" w:rsidP="008423E4">
      <w:pPr>
        <w:tabs>
          <w:tab w:val="right" w:pos="9360"/>
        </w:tabs>
      </w:pPr>
    </w:p>
    <w:p w:rsidR="008423E4" w:rsidRDefault="008E624E" w:rsidP="008423E4"/>
    <w:p w:rsidR="008423E4" w:rsidRDefault="008E62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5302" w:rsidTr="00345119">
        <w:tc>
          <w:tcPr>
            <w:tcW w:w="9576" w:type="dxa"/>
          </w:tcPr>
          <w:p w:rsidR="008423E4" w:rsidRPr="00A8133F" w:rsidRDefault="008E624E" w:rsidP="00E939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624E" w:rsidP="00E93903"/>
          <w:p w:rsidR="008423E4" w:rsidRDefault="008E624E" w:rsidP="00E939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 xml:space="preserve">noted </w:t>
            </w:r>
            <w:r>
              <w:t>that c</w:t>
            </w:r>
            <w:r>
              <w:t>riminal organizations use s</w:t>
            </w:r>
            <w:r>
              <w:t>tash houses to co</w:t>
            </w:r>
            <w:r>
              <w:t>mmit</w:t>
            </w:r>
            <w:r>
              <w:t xml:space="preserve"> and facilitate</w:t>
            </w:r>
            <w:r>
              <w:t xml:space="preserve"> illegal activities</w:t>
            </w:r>
            <w:r>
              <w:t>,</w:t>
            </w:r>
            <w:r>
              <w:t xml:space="preserve"> such as human trafficking and smuggling</w:t>
            </w:r>
            <w:r>
              <w:t>,</w:t>
            </w:r>
            <w:r>
              <w:t xml:space="preserve"> and that</w:t>
            </w:r>
            <w:r>
              <w:t xml:space="preserve"> it would be much easier</w:t>
            </w:r>
            <w:r>
              <w:t xml:space="preserve"> for law enforcement</w:t>
            </w:r>
            <w:r>
              <w:t xml:space="preserve"> to effectively prosecute </w:t>
            </w:r>
            <w:r>
              <w:t xml:space="preserve">this </w:t>
            </w:r>
            <w:r>
              <w:t xml:space="preserve">criminal </w:t>
            </w:r>
            <w:r>
              <w:t xml:space="preserve">activity </w:t>
            </w:r>
            <w:r>
              <w:t xml:space="preserve">if there </w:t>
            </w:r>
            <w:r>
              <w:t>were</w:t>
            </w:r>
            <w:r>
              <w:t xml:space="preserve"> a</w:t>
            </w:r>
            <w:r>
              <w:t>n</w:t>
            </w:r>
            <w:r>
              <w:t xml:space="preserve"> offense</w:t>
            </w:r>
            <w:r>
              <w:t xml:space="preserve"> for such conduct</w:t>
            </w:r>
            <w:r>
              <w:t xml:space="preserve">. </w:t>
            </w:r>
            <w:r>
              <w:t>C.S.</w:t>
            </w:r>
            <w:r>
              <w:t>H.B. 2613 creat</w:t>
            </w:r>
            <w:r>
              <w:t>es</w:t>
            </w:r>
            <w:r>
              <w:t xml:space="preserve"> the criminal offense of operation of </w:t>
            </w:r>
            <w:r>
              <w:t xml:space="preserve">a </w:t>
            </w:r>
            <w:r>
              <w:t>stash hou</w:t>
            </w:r>
            <w:r>
              <w:t>se</w:t>
            </w:r>
            <w:r>
              <w:t xml:space="preserve"> and </w:t>
            </w:r>
            <w:r>
              <w:t xml:space="preserve">provides for the </w:t>
            </w:r>
            <w:r>
              <w:t>use of contraband seized in relation to that offense</w:t>
            </w:r>
            <w:r>
              <w:t xml:space="preserve">. </w:t>
            </w:r>
            <w:r>
              <w:t xml:space="preserve"> </w:t>
            </w:r>
          </w:p>
          <w:p w:rsidR="008423E4" w:rsidRPr="00E26B13" w:rsidRDefault="008E624E" w:rsidP="00E93903">
            <w:pPr>
              <w:rPr>
                <w:b/>
              </w:rPr>
            </w:pPr>
          </w:p>
        </w:tc>
      </w:tr>
      <w:tr w:rsidR="00395302" w:rsidTr="00345119">
        <w:tc>
          <w:tcPr>
            <w:tcW w:w="9576" w:type="dxa"/>
          </w:tcPr>
          <w:p w:rsidR="0017725B" w:rsidRDefault="008E624E" w:rsidP="00E939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624E" w:rsidP="00E93903">
            <w:pPr>
              <w:rPr>
                <w:b/>
                <w:u w:val="single"/>
              </w:rPr>
            </w:pPr>
          </w:p>
          <w:p w:rsidR="00024986" w:rsidRPr="00024986" w:rsidRDefault="008E624E" w:rsidP="00E93903">
            <w:pPr>
              <w:jc w:val="both"/>
            </w:pPr>
            <w:r>
              <w:t>It is the committee's opinion that this bill expressly does one or more of the following: creates</w:t>
            </w:r>
            <w:r>
              <w:t xml:space="preserve">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8E624E" w:rsidP="00E93903">
            <w:pPr>
              <w:rPr>
                <w:b/>
                <w:u w:val="single"/>
              </w:rPr>
            </w:pPr>
          </w:p>
        </w:tc>
      </w:tr>
      <w:tr w:rsidR="00395302" w:rsidTr="00345119">
        <w:tc>
          <w:tcPr>
            <w:tcW w:w="9576" w:type="dxa"/>
          </w:tcPr>
          <w:p w:rsidR="008423E4" w:rsidRPr="00A8133F" w:rsidRDefault="008E624E" w:rsidP="00E939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624E" w:rsidP="00E93903"/>
          <w:p w:rsidR="001711D8" w:rsidRDefault="008E624E" w:rsidP="00E939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</w:t>
            </w:r>
            <w:r>
              <w:t>on that this bill does not expressly grant any additional rulemaking authority to a state officer, department, agency, or institution.</w:t>
            </w:r>
          </w:p>
          <w:p w:rsidR="008423E4" w:rsidRPr="00E21FDC" w:rsidRDefault="008E624E" w:rsidP="00E93903">
            <w:pPr>
              <w:rPr>
                <w:b/>
              </w:rPr>
            </w:pPr>
          </w:p>
        </w:tc>
      </w:tr>
      <w:tr w:rsidR="00395302" w:rsidTr="00345119">
        <w:tc>
          <w:tcPr>
            <w:tcW w:w="9576" w:type="dxa"/>
          </w:tcPr>
          <w:p w:rsidR="008423E4" w:rsidRPr="00A8133F" w:rsidRDefault="008E624E" w:rsidP="00E93903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624E" w:rsidP="00E93903">
            <w:pPr>
              <w:contextualSpacing/>
            </w:pPr>
          </w:p>
          <w:p w:rsidR="005E57F6" w:rsidRDefault="008E624E" w:rsidP="00E93903">
            <w:pPr>
              <w:pStyle w:val="Header"/>
              <w:contextualSpacing/>
              <w:jc w:val="both"/>
            </w:pPr>
            <w:r>
              <w:t>C.S.</w:t>
            </w:r>
            <w:r>
              <w:t xml:space="preserve">H.B. </w:t>
            </w:r>
            <w:r w:rsidRPr="00CC1D63">
              <w:t>2613</w:t>
            </w:r>
            <w:r>
              <w:t xml:space="preserve"> amends the Penal Code to create the Class A misdemeanor offense of operation of </w:t>
            </w:r>
            <w:r>
              <w:t xml:space="preserve">a </w:t>
            </w:r>
            <w:r>
              <w:t xml:space="preserve">stash house </w:t>
            </w:r>
            <w:r>
              <w:t>for a person who knowingly</w:t>
            </w:r>
            <w:r>
              <w:t>:</w:t>
            </w:r>
            <w:r>
              <w:t xml:space="preserve"> </w:t>
            </w:r>
          </w:p>
          <w:p w:rsidR="005E57F6" w:rsidRDefault="008E624E" w:rsidP="00E9390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uses or permits another to use any real estate, building, room, tent, vehicle, boat, or other property owned by or under</w:t>
            </w:r>
            <w:r>
              <w:t xml:space="preserve"> control of</w:t>
            </w:r>
            <w:r>
              <w:t xml:space="preserve"> the person to commit an offense or to facilitate the commission of </w:t>
            </w:r>
            <w:r>
              <w:t>an</w:t>
            </w:r>
            <w:r>
              <w:t xml:space="preserve"> offense of </w:t>
            </w:r>
            <w:r w:rsidRPr="00CC1D63">
              <w:t>smuggling of p</w:t>
            </w:r>
            <w:r w:rsidRPr="00CC1D63">
              <w:t>ersons, continuous smuggling of persons, trafficking of persons, continuous trafficking of persons</w:t>
            </w:r>
            <w:r>
              <w:t>, aggravated promotion of prostitution, or compelling prostitution</w:t>
            </w:r>
            <w:r>
              <w:t xml:space="preserve">; </w:t>
            </w:r>
            <w:r>
              <w:t xml:space="preserve">or </w:t>
            </w:r>
          </w:p>
          <w:p w:rsidR="006B38FD" w:rsidRDefault="008E624E" w:rsidP="00E93903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rents or leases any property to another, intending that the property be used to commit</w:t>
            </w:r>
            <w:r>
              <w:t xml:space="preserve"> such an offense.</w:t>
            </w:r>
          </w:p>
          <w:p w:rsidR="004D1A0E" w:rsidRDefault="008E624E" w:rsidP="00E93903">
            <w:pPr>
              <w:pStyle w:val="Header"/>
              <w:contextualSpacing/>
              <w:jc w:val="both"/>
            </w:pPr>
          </w:p>
          <w:p w:rsidR="00CC1D63" w:rsidRDefault="008E624E" w:rsidP="00E93903">
            <w:pPr>
              <w:pStyle w:val="Header"/>
              <w:contextualSpacing/>
              <w:jc w:val="both"/>
            </w:pPr>
            <w:r>
              <w:t>C.S.</w:t>
            </w:r>
            <w:r w:rsidRPr="00024986">
              <w:t>H.B. 2613</w:t>
            </w:r>
            <w:r>
              <w:t xml:space="preserve"> establishes that i</w:t>
            </w:r>
            <w:r>
              <w:t xml:space="preserve">f conduct that constitutes </w:t>
            </w:r>
            <w:r>
              <w:t>such an</w:t>
            </w:r>
            <w:r>
              <w:t xml:space="preserve"> offense also constitutes an offense under another</w:t>
            </w:r>
            <w:r>
              <w:t xml:space="preserve"> </w:t>
            </w:r>
            <w:r>
              <w:t>law, the actor may be prosecuted under the bill's provisions, the other law, or both</w:t>
            </w:r>
            <w:r>
              <w:t xml:space="preserve"> the bill's provisions and the other</w:t>
            </w:r>
            <w:r>
              <w:t xml:space="preserve"> law</w:t>
            </w:r>
            <w:r>
              <w:t>.</w:t>
            </w:r>
          </w:p>
          <w:p w:rsidR="00666E51" w:rsidRDefault="008E624E" w:rsidP="00E93903">
            <w:pPr>
              <w:pStyle w:val="Header"/>
              <w:contextualSpacing/>
              <w:jc w:val="both"/>
            </w:pPr>
          </w:p>
          <w:p w:rsidR="002514F6" w:rsidRDefault="008E624E" w:rsidP="00E93903">
            <w:pPr>
              <w:pStyle w:val="Header"/>
              <w:contextualSpacing/>
              <w:jc w:val="both"/>
            </w:pPr>
            <w:r>
              <w:t>C.S.</w:t>
            </w:r>
            <w:r w:rsidRPr="00024986">
              <w:t xml:space="preserve">H.B. 2613 </w:t>
            </w:r>
            <w:r>
              <w:t xml:space="preserve">amends the Code of Criminal Procedure to </w:t>
            </w:r>
            <w:r>
              <w:t>expand</w:t>
            </w:r>
            <w:r>
              <w:t xml:space="preserve"> </w:t>
            </w:r>
            <w:r>
              <w:t xml:space="preserve">the definition of </w:t>
            </w:r>
            <w:r>
              <w:t>"</w:t>
            </w:r>
            <w:r>
              <w:t>contraband,</w:t>
            </w:r>
            <w:r>
              <w:t>"</w:t>
            </w:r>
            <w:r>
              <w:t xml:space="preserve"> for purposes of statutory contraband</w:t>
            </w:r>
            <w:r>
              <w:t xml:space="preserve"> forfeiture procedures</w:t>
            </w:r>
            <w:r>
              <w:t xml:space="preserve">, </w:t>
            </w:r>
            <w:r>
              <w:t xml:space="preserve">to include </w:t>
            </w:r>
            <w:r w:rsidRPr="00AA7791">
              <w:t xml:space="preserve">property </w:t>
            </w:r>
            <w:r>
              <w:t>that is:</w:t>
            </w:r>
          </w:p>
          <w:p w:rsidR="006721EA" w:rsidRDefault="008E624E" w:rsidP="00E9390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intended to be used in the commission of any felony</w:t>
            </w:r>
            <w:r>
              <w:t xml:space="preserve"> offense</w:t>
            </w:r>
            <w:r>
              <w:t xml:space="preserve"> relating to trafficking of person</w:t>
            </w:r>
            <w:r w:rsidRPr="00DF7A03">
              <w:t>s</w:t>
            </w:r>
            <w:r w:rsidRPr="00DF7A03">
              <w:t>, aggravated promotion of prostitution, or compelling prostitution</w:t>
            </w:r>
            <w:r w:rsidRPr="00DF7A03">
              <w:t>;</w:t>
            </w:r>
          </w:p>
          <w:p w:rsidR="00C139FA" w:rsidRDefault="008E624E" w:rsidP="00E9390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used </w:t>
            </w:r>
            <w:r>
              <w:t xml:space="preserve">or intended to be used </w:t>
            </w:r>
            <w:r w:rsidRPr="00AA7791">
              <w:t>in the commission of</w:t>
            </w:r>
            <w:r>
              <w:t xml:space="preserve"> </w:t>
            </w:r>
            <w:r>
              <w:t>an</w:t>
            </w:r>
            <w:r>
              <w:t xml:space="preserve"> </w:t>
            </w:r>
            <w:r w:rsidRPr="00AA7791">
              <w:t>operation of stash house</w:t>
            </w:r>
            <w:r>
              <w:t xml:space="preserve"> offense</w:t>
            </w:r>
            <w:r>
              <w:t>;</w:t>
            </w:r>
          </w:p>
          <w:p w:rsidR="0045117E" w:rsidRPr="0087382B" w:rsidRDefault="008E624E" w:rsidP="00E9390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2514F6">
              <w:t>used to facilitate or intended to be used to facilitate the commiss</w:t>
            </w:r>
            <w:r w:rsidRPr="002514F6">
              <w:t>ion of</w:t>
            </w:r>
            <w:r>
              <w:t xml:space="preserve"> any offense of </w:t>
            </w:r>
            <w:r w:rsidRPr="002514F6">
              <w:t>smuggling of persons, continuous smuggling of persons,</w:t>
            </w:r>
            <w:r>
              <w:t xml:space="preserve"> or</w:t>
            </w:r>
            <w:r w:rsidRPr="002514F6">
              <w:t xml:space="preserve"> operation of stash house</w:t>
            </w:r>
            <w:r>
              <w:t xml:space="preserve"> or any offense relating to trafficking of persons; or</w:t>
            </w:r>
            <w:r w:rsidRPr="005E57F6">
              <w:rPr>
                <w:b/>
              </w:rPr>
              <w:t xml:space="preserve"> </w:t>
            </w:r>
          </w:p>
          <w:p w:rsidR="005E57F6" w:rsidRPr="0045117E" w:rsidRDefault="008E624E" w:rsidP="00E9390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  <w:rPr>
                <w:b/>
              </w:rPr>
            </w:pPr>
            <w:r>
              <w:t xml:space="preserve">the </w:t>
            </w:r>
            <w:r>
              <w:t xml:space="preserve">proceeds gained from the commission of </w:t>
            </w:r>
            <w:r>
              <w:t xml:space="preserve">a misdemeanor </w:t>
            </w:r>
            <w:r w:rsidRPr="00F53568">
              <w:t>operation of stash house</w:t>
            </w:r>
            <w:r>
              <w:t xml:space="preserve"> offense or pro</w:t>
            </w:r>
            <w:r>
              <w:t>perty acquired with such proceeds</w:t>
            </w:r>
            <w:r>
              <w:t>.</w:t>
            </w:r>
          </w:p>
          <w:p w:rsidR="005E57F6" w:rsidRDefault="008E624E" w:rsidP="00E93903">
            <w:pPr>
              <w:pStyle w:val="Header"/>
              <w:spacing w:before="120" w:after="120"/>
              <w:contextualSpacing/>
              <w:jc w:val="both"/>
            </w:pPr>
          </w:p>
          <w:p w:rsidR="009B2188" w:rsidRDefault="008E624E" w:rsidP="00E93903">
            <w:pPr>
              <w:pStyle w:val="Header"/>
              <w:spacing w:before="120" w:after="120"/>
              <w:contextualSpacing/>
              <w:jc w:val="both"/>
            </w:pPr>
            <w:r>
              <w:t>C.S.</w:t>
            </w:r>
            <w:r w:rsidRPr="00410960">
              <w:t xml:space="preserve">H.B. 2613 </w:t>
            </w:r>
            <w:r>
              <w:t xml:space="preserve">requires the </w:t>
            </w:r>
            <w:r w:rsidRPr="002075AD">
              <w:t xml:space="preserve">gross amount credited </w:t>
            </w:r>
            <w:r>
              <w:t xml:space="preserve">from the forfeiture of contraband relating to the commission of such offenses </w:t>
            </w:r>
            <w:r>
              <w:t xml:space="preserve">to </w:t>
            </w:r>
            <w:r w:rsidRPr="002075AD">
              <w:t xml:space="preserve">the special fund of the office of the attorney representing the state or of a law </w:t>
            </w:r>
            <w:r w:rsidRPr="002075AD">
              <w:t>enforcement agency under</w:t>
            </w:r>
            <w:r>
              <w:t xml:space="preserve"> </w:t>
            </w:r>
            <w:r w:rsidRPr="002075AD">
              <w:t xml:space="preserve">a local agreement </w:t>
            </w:r>
            <w:r>
              <w:t>to be</w:t>
            </w:r>
            <w:r>
              <w:t>:</w:t>
            </w:r>
            <w:r>
              <w:t xml:space="preserve"> </w:t>
            </w:r>
          </w:p>
          <w:p w:rsidR="009B2188" w:rsidRDefault="008E624E" w:rsidP="00E93903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used to provide direct victim services by the victim services division or other similar division of the attorney</w:t>
            </w:r>
            <w:r>
              <w:t xml:space="preserve">'s </w:t>
            </w:r>
            <w:r>
              <w:t xml:space="preserve">office </w:t>
            </w:r>
            <w:r>
              <w:t xml:space="preserve">or </w:t>
            </w:r>
            <w:r>
              <w:t xml:space="preserve">the </w:t>
            </w:r>
            <w:r>
              <w:t>agency</w:t>
            </w:r>
            <w:r>
              <w:t>, as applicable</w:t>
            </w:r>
            <w:r>
              <w:t>;</w:t>
            </w:r>
            <w:r>
              <w:t xml:space="preserve"> or </w:t>
            </w:r>
          </w:p>
          <w:p w:rsidR="009B2188" w:rsidRDefault="008E624E" w:rsidP="00E93903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used by the</w:t>
            </w:r>
            <w:r>
              <w:t xml:space="preserve"> attorney's</w:t>
            </w:r>
            <w:r>
              <w:t xml:space="preserve"> </w:t>
            </w:r>
            <w:r>
              <w:t xml:space="preserve">office </w:t>
            </w:r>
            <w:r>
              <w:t xml:space="preserve">or </w:t>
            </w:r>
            <w:r>
              <w:t xml:space="preserve">the </w:t>
            </w:r>
            <w:r>
              <w:t>agency</w:t>
            </w:r>
            <w:r>
              <w:t xml:space="preserve"> to co</w:t>
            </w:r>
            <w:r>
              <w:t xml:space="preserve">ver the costs of a contract with a local nonprofit organization to provide direct services to crime victims. </w:t>
            </w:r>
          </w:p>
          <w:p w:rsidR="00D63508" w:rsidRDefault="008E624E" w:rsidP="00E93903">
            <w:pPr>
              <w:pStyle w:val="Header"/>
              <w:spacing w:before="120" w:after="120"/>
              <w:contextualSpacing/>
              <w:jc w:val="both"/>
            </w:pPr>
          </w:p>
          <w:p w:rsidR="005E57F6" w:rsidRDefault="008E624E" w:rsidP="00E93903">
            <w:pPr>
              <w:pStyle w:val="Header"/>
              <w:spacing w:before="120" w:after="120"/>
              <w:contextualSpacing/>
              <w:jc w:val="both"/>
            </w:pPr>
            <w:r>
              <w:t>C.S.</w:t>
            </w:r>
            <w:r>
              <w:t xml:space="preserve">H.B. 2613 </w:t>
            </w:r>
            <w:r>
              <w:t>establishes that such an expenditure of money is considered t</w:t>
            </w:r>
            <w:r w:rsidRPr="00497579">
              <w:t xml:space="preserve">o be for an official purpose of the </w:t>
            </w:r>
            <w:r>
              <w:t xml:space="preserve">attorney's </w:t>
            </w:r>
            <w:r w:rsidRPr="00497579">
              <w:t>office or for a law enf</w:t>
            </w:r>
            <w:r w:rsidRPr="00497579">
              <w:t>orcement purpose, as applicable.</w:t>
            </w:r>
          </w:p>
          <w:p w:rsidR="00E31C02" w:rsidRPr="00835628" w:rsidRDefault="008E624E" w:rsidP="00E93903">
            <w:pPr>
              <w:pStyle w:val="Header"/>
              <w:spacing w:before="120" w:after="120"/>
              <w:contextualSpacing/>
              <w:jc w:val="both"/>
              <w:rPr>
                <w:b/>
              </w:rPr>
            </w:pPr>
          </w:p>
        </w:tc>
      </w:tr>
      <w:tr w:rsidR="00395302" w:rsidTr="00345119">
        <w:tc>
          <w:tcPr>
            <w:tcW w:w="9576" w:type="dxa"/>
          </w:tcPr>
          <w:p w:rsidR="008423E4" w:rsidRPr="00A8133F" w:rsidRDefault="008E624E" w:rsidP="00E939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624E" w:rsidP="00E93903"/>
          <w:p w:rsidR="008423E4" w:rsidRPr="003624F2" w:rsidRDefault="008E624E" w:rsidP="00E939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E624E" w:rsidP="00E93903">
            <w:pPr>
              <w:rPr>
                <w:b/>
              </w:rPr>
            </w:pPr>
          </w:p>
        </w:tc>
      </w:tr>
      <w:tr w:rsidR="00395302" w:rsidTr="00345119">
        <w:tc>
          <w:tcPr>
            <w:tcW w:w="9576" w:type="dxa"/>
          </w:tcPr>
          <w:p w:rsidR="003D7A08" w:rsidRDefault="008E624E" w:rsidP="00E93903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F6D55" w:rsidRDefault="008E624E" w:rsidP="00E93903">
            <w:pPr>
              <w:contextualSpacing/>
              <w:jc w:val="both"/>
            </w:pPr>
          </w:p>
          <w:p w:rsidR="00693F77" w:rsidRDefault="008E624E" w:rsidP="00E93903">
            <w:pPr>
              <w:contextualSpacing/>
              <w:jc w:val="both"/>
            </w:pPr>
            <w:r>
              <w:t>While C.S.H.B. 2613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693F77" w:rsidRDefault="008E624E" w:rsidP="00E93903">
            <w:pPr>
              <w:contextualSpacing/>
              <w:jc w:val="both"/>
            </w:pPr>
          </w:p>
          <w:p w:rsidR="00703B9E" w:rsidRDefault="008E624E" w:rsidP="00E93903">
            <w:pPr>
              <w:contextualSpacing/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aggravated promotion of prostitution and compelling prostitution </w:t>
            </w:r>
            <w:r>
              <w:t xml:space="preserve">among </w:t>
            </w:r>
            <w:r>
              <w:t xml:space="preserve">the </w:t>
            </w:r>
            <w:r>
              <w:t xml:space="preserve">offenses for which </w:t>
            </w:r>
            <w:r>
              <w:t xml:space="preserve">engaging in specified conduct for purposes of committing the offense or facilitating the commission of the offense constitutes operation of a stash house. </w:t>
            </w:r>
          </w:p>
          <w:p w:rsidR="007601FD" w:rsidRDefault="008E624E" w:rsidP="00E93903">
            <w:pPr>
              <w:contextualSpacing/>
              <w:jc w:val="both"/>
            </w:pPr>
          </w:p>
          <w:p w:rsidR="007601FD" w:rsidRDefault="008E624E" w:rsidP="00E93903">
            <w:pPr>
              <w:contextualSpacing/>
              <w:jc w:val="both"/>
            </w:pPr>
            <w:r>
              <w:t>The s</w:t>
            </w:r>
            <w:r>
              <w:t>ubstitute includes a provision</w:t>
            </w:r>
            <w:r>
              <w:t xml:space="preserve"> authorizing prosecution of conduct constituting operation of a stash house under </w:t>
            </w:r>
            <w:r>
              <w:t>the bill's provisions, under another law if the conduct constitutes an offense under that law, or under both the bill's provisions and that othe</w:t>
            </w:r>
            <w:r>
              <w:t>r law</w:t>
            </w:r>
            <w:r w:rsidRPr="007601FD">
              <w:t>.</w:t>
            </w:r>
          </w:p>
          <w:p w:rsidR="007601FD" w:rsidRDefault="008E624E" w:rsidP="00E93903">
            <w:pPr>
              <w:contextualSpacing/>
              <w:jc w:val="both"/>
            </w:pPr>
          </w:p>
          <w:p w:rsidR="00BF6D55" w:rsidRDefault="008E624E" w:rsidP="00E93903">
            <w:pPr>
              <w:contextualSpacing/>
              <w:jc w:val="both"/>
            </w:pPr>
            <w:r>
              <w:t xml:space="preserve">The substitute includes </w:t>
            </w:r>
            <w:r>
              <w:t>a provision expanding</w:t>
            </w:r>
            <w:r>
              <w:t xml:space="preserve"> the definition of </w:t>
            </w:r>
            <w:r>
              <w:t>"</w:t>
            </w:r>
            <w:r>
              <w:t>contraband</w:t>
            </w:r>
            <w:r>
              <w:t xml:space="preserve">" to include property </w:t>
            </w:r>
            <w:r>
              <w:t>intended t</w:t>
            </w:r>
            <w:r>
              <w:t xml:space="preserve">o be used in the commission of </w:t>
            </w:r>
            <w:r>
              <w:t>aggravated promotion of prostitution or compelling prostitution</w:t>
            </w:r>
            <w:r>
              <w:t>.</w:t>
            </w:r>
          </w:p>
          <w:p w:rsidR="00773959" w:rsidRDefault="008E624E" w:rsidP="00E93903">
            <w:pPr>
              <w:spacing w:before="120" w:after="120"/>
              <w:contextualSpacing/>
              <w:jc w:val="both"/>
            </w:pPr>
          </w:p>
          <w:p w:rsidR="00773959" w:rsidRPr="00BF6D55" w:rsidRDefault="008E624E" w:rsidP="00E93903">
            <w:pPr>
              <w:spacing w:before="120" w:after="120"/>
              <w:contextualSpacing/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</w:t>
            </w:r>
            <w:r>
              <w:t xml:space="preserve">proceeds from the sale of </w:t>
            </w:r>
            <w:r>
              <w:t xml:space="preserve">contraband forfeited relating to the commission of aggravated promotion of prostitution or compelling prostitution </w:t>
            </w:r>
            <w:r>
              <w:t xml:space="preserve">in the gross amount that is credited </w:t>
            </w:r>
            <w:r>
              <w:t>to the special fund of the office of the attorney representing the state or of</w:t>
            </w:r>
            <w:r>
              <w:t xml:space="preserve"> a law enforcement agency </w:t>
            </w:r>
            <w:r>
              <w:t xml:space="preserve">from the forfeiture of certain contraband for purposes of providing direct victim services </w:t>
            </w:r>
            <w:r>
              <w:t xml:space="preserve">or covering the costs of a contract with a local nonprofit organization to provide direct victim services. </w:t>
            </w:r>
          </w:p>
        </w:tc>
      </w:tr>
    </w:tbl>
    <w:p w:rsidR="008423E4" w:rsidRPr="00BE0E75" w:rsidRDefault="008E624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E624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624E">
      <w:r>
        <w:separator/>
      </w:r>
    </w:p>
  </w:endnote>
  <w:endnote w:type="continuationSeparator" w:id="0">
    <w:p w:rsidR="00000000" w:rsidRDefault="008E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E2" w:rsidRDefault="008E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5302" w:rsidTr="009C1E9A">
      <w:trPr>
        <w:cantSplit/>
      </w:trPr>
      <w:tc>
        <w:tcPr>
          <w:tcW w:w="0" w:type="pct"/>
        </w:tcPr>
        <w:p w:rsidR="00137D90" w:rsidRDefault="008E62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62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62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62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62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5302" w:rsidTr="009C1E9A">
      <w:trPr>
        <w:cantSplit/>
      </w:trPr>
      <w:tc>
        <w:tcPr>
          <w:tcW w:w="0" w:type="pct"/>
        </w:tcPr>
        <w:p w:rsidR="00EC379B" w:rsidRDefault="008E62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62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26288</w:t>
          </w:r>
        </w:p>
      </w:tc>
      <w:tc>
        <w:tcPr>
          <w:tcW w:w="2453" w:type="pct"/>
        </w:tcPr>
        <w:p w:rsidR="00EC379B" w:rsidRDefault="008E62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19.101.241</w:t>
          </w:r>
          <w:r>
            <w:fldChar w:fldCharType="end"/>
          </w:r>
        </w:p>
      </w:tc>
    </w:tr>
    <w:tr w:rsidR="00395302" w:rsidTr="009C1E9A">
      <w:trPr>
        <w:cantSplit/>
      </w:trPr>
      <w:tc>
        <w:tcPr>
          <w:tcW w:w="0" w:type="pct"/>
        </w:tcPr>
        <w:p w:rsidR="00EC379B" w:rsidRDefault="008E62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62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21712</w:t>
          </w:r>
        </w:p>
      </w:tc>
      <w:tc>
        <w:tcPr>
          <w:tcW w:w="2453" w:type="pct"/>
        </w:tcPr>
        <w:p w:rsidR="00EC379B" w:rsidRDefault="008E624E" w:rsidP="006D504F">
          <w:pPr>
            <w:pStyle w:val="Footer"/>
            <w:rPr>
              <w:rStyle w:val="PageNumber"/>
            </w:rPr>
          </w:pPr>
        </w:p>
        <w:p w:rsidR="00EC379B" w:rsidRDefault="008E62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53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62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62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62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E2" w:rsidRDefault="008E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624E">
      <w:r>
        <w:separator/>
      </w:r>
    </w:p>
  </w:footnote>
  <w:footnote w:type="continuationSeparator" w:id="0">
    <w:p w:rsidR="00000000" w:rsidRDefault="008E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E2" w:rsidRDefault="008E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E2" w:rsidRDefault="008E6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E2" w:rsidRDefault="008E6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4E87"/>
    <w:multiLevelType w:val="hybridMultilevel"/>
    <w:tmpl w:val="C76AC608"/>
    <w:lvl w:ilvl="0" w:tplc="8C38C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8B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A3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C1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E7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42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9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A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2A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4359"/>
    <w:multiLevelType w:val="hybridMultilevel"/>
    <w:tmpl w:val="C58AD1C6"/>
    <w:lvl w:ilvl="0" w:tplc="EC286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CF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E4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8F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4B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CD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8A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AA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28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62E7"/>
    <w:multiLevelType w:val="hybridMultilevel"/>
    <w:tmpl w:val="F4645F4C"/>
    <w:lvl w:ilvl="0" w:tplc="4F922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49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42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04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04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C1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66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A9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8D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A1F9C"/>
    <w:multiLevelType w:val="hybridMultilevel"/>
    <w:tmpl w:val="C680BB6A"/>
    <w:lvl w:ilvl="0" w:tplc="DE8AD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48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4D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A1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6B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0C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E9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02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6E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12041"/>
    <w:multiLevelType w:val="hybridMultilevel"/>
    <w:tmpl w:val="225209B8"/>
    <w:lvl w:ilvl="0" w:tplc="DC008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44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22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CE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5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24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04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07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C61C2"/>
    <w:multiLevelType w:val="hybridMultilevel"/>
    <w:tmpl w:val="406CD0FC"/>
    <w:lvl w:ilvl="0" w:tplc="23E21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2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E2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E9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EB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24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E8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03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61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2"/>
    <w:rsid w:val="00395302"/>
    <w:rsid w:val="008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DDC53-BCBD-405F-8E3B-AB1DB214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75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7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75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5AD"/>
    <w:rPr>
      <w:b/>
      <w:bCs/>
    </w:rPr>
  </w:style>
  <w:style w:type="paragraph" w:styleId="ListParagraph">
    <w:name w:val="List Paragraph"/>
    <w:basedOn w:val="Normal"/>
    <w:uiPriority w:val="34"/>
    <w:qFormat/>
    <w:rsid w:val="00FD61E4"/>
    <w:pPr>
      <w:ind w:left="720"/>
      <w:contextualSpacing/>
    </w:pPr>
  </w:style>
  <w:style w:type="character" w:styleId="Hyperlink">
    <w:name w:val="Hyperlink"/>
    <w:basedOn w:val="DefaultParagraphFont"/>
    <w:unhideWhenUsed/>
    <w:rsid w:val="00703B9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7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4254</Characters>
  <Application>Microsoft Office Word</Application>
  <DocSecurity>4</DocSecurity>
  <Lines>98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HB02613 (Committee Report (Substituted))</vt:lpstr>
    </vt:vector>
  </TitlesOfParts>
  <Company>State of Texas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26288</dc:subject>
  <dc:creator>State of Texas</dc:creator>
  <dc:description>HB 2613 by Frullo-(H)Criminal Jurisprudence (Substitute Document Number: 86R 21712)</dc:description>
  <cp:lastModifiedBy>Stacey Nicchio</cp:lastModifiedBy>
  <cp:revision>2</cp:revision>
  <cp:lastPrinted>2019-03-12T21:55:00Z</cp:lastPrinted>
  <dcterms:created xsi:type="dcterms:W3CDTF">2019-04-23T21:56:00Z</dcterms:created>
  <dcterms:modified xsi:type="dcterms:W3CDTF">2019-04-23T21:56:00Z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19.101.241</vt:lpwstr>
  </property>
</Properties>
</file>