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C29DF" w:rsidTr="00345119">
        <w:tc>
          <w:tcPr>
            <w:tcW w:w="9576" w:type="dxa"/>
            <w:noWrap/>
          </w:tcPr>
          <w:p w:rsidR="008423E4" w:rsidRPr="0022177D" w:rsidRDefault="00225D9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25D91" w:rsidP="008423E4">
      <w:pPr>
        <w:jc w:val="center"/>
      </w:pPr>
    </w:p>
    <w:p w:rsidR="008423E4" w:rsidRPr="00B31F0E" w:rsidRDefault="00225D91" w:rsidP="008423E4"/>
    <w:p w:rsidR="008423E4" w:rsidRPr="00742794" w:rsidRDefault="00225D9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29DF" w:rsidTr="00345119">
        <w:tc>
          <w:tcPr>
            <w:tcW w:w="9576" w:type="dxa"/>
          </w:tcPr>
          <w:p w:rsidR="008423E4" w:rsidRPr="00861995" w:rsidRDefault="00225D91" w:rsidP="00345119">
            <w:pPr>
              <w:jc w:val="right"/>
            </w:pPr>
            <w:r>
              <w:t>C.S.H.B. 2628</w:t>
            </w:r>
          </w:p>
        </w:tc>
      </w:tr>
      <w:tr w:rsidR="008C29DF" w:rsidTr="00345119">
        <w:tc>
          <w:tcPr>
            <w:tcW w:w="9576" w:type="dxa"/>
          </w:tcPr>
          <w:p w:rsidR="008423E4" w:rsidRPr="00861995" w:rsidRDefault="00225D91" w:rsidP="005A11C9">
            <w:pPr>
              <w:jc w:val="right"/>
            </w:pPr>
            <w:r>
              <w:t xml:space="preserve">By: </w:t>
            </w:r>
            <w:r>
              <w:t>Vo</w:t>
            </w:r>
          </w:p>
        </w:tc>
      </w:tr>
      <w:tr w:rsidR="008C29DF" w:rsidTr="00345119">
        <w:tc>
          <w:tcPr>
            <w:tcW w:w="9576" w:type="dxa"/>
          </w:tcPr>
          <w:p w:rsidR="008423E4" w:rsidRPr="00861995" w:rsidRDefault="00225D91" w:rsidP="00345119">
            <w:pPr>
              <w:jc w:val="right"/>
            </w:pPr>
            <w:r>
              <w:t>Elections</w:t>
            </w:r>
          </w:p>
        </w:tc>
      </w:tr>
      <w:tr w:rsidR="008C29DF" w:rsidTr="00345119">
        <w:tc>
          <w:tcPr>
            <w:tcW w:w="9576" w:type="dxa"/>
          </w:tcPr>
          <w:p w:rsidR="008423E4" w:rsidRDefault="00225D9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25D91" w:rsidP="008423E4">
      <w:pPr>
        <w:tabs>
          <w:tab w:val="right" w:pos="9360"/>
        </w:tabs>
      </w:pPr>
    </w:p>
    <w:p w:rsidR="008423E4" w:rsidRDefault="00225D91" w:rsidP="008423E4"/>
    <w:p w:rsidR="008423E4" w:rsidRDefault="00225D9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C29DF" w:rsidTr="00345119">
        <w:tc>
          <w:tcPr>
            <w:tcW w:w="9576" w:type="dxa"/>
          </w:tcPr>
          <w:p w:rsidR="008423E4" w:rsidRPr="00A8133F" w:rsidRDefault="00225D91" w:rsidP="009E68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25D91" w:rsidP="009E6841"/>
          <w:p w:rsidR="008423E4" w:rsidRDefault="00225D91" w:rsidP="009E6841">
            <w:pPr>
              <w:pStyle w:val="Header"/>
              <w:jc w:val="both"/>
            </w:pPr>
            <w:r>
              <w:t xml:space="preserve">It has been </w:t>
            </w:r>
            <w:r>
              <w:t>noted</w:t>
            </w:r>
            <w:r>
              <w:t xml:space="preserve"> that </w:t>
            </w:r>
            <w:r w:rsidRPr="00AA2BF7">
              <w:t xml:space="preserve">some smaller counties do not have the capability to </w:t>
            </w:r>
            <w:r>
              <w:t>post election night returns</w:t>
            </w:r>
            <w:r>
              <w:t xml:space="preserve"> online</w:t>
            </w:r>
            <w:r>
              <w:t xml:space="preserve">, which hinders the availability </w:t>
            </w:r>
            <w:r>
              <w:t>of this information for residents of the county</w:t>
            </w:r>
            <w:r>
              <w:t>. It has been suggested</w:t>
            </w:r>
            <w:r>
              <w:t xml:space="preserve"> that the secretary of state</w:t>
            </w:r>
            <w:r>
              <w:t xml:space="preserve"> now</w:t>
            </w:r>
            <w:r>
              <w:t xml:space="preserve"> has the technology to post all election returns, including county-level</w:t>
            </w:r>
            <w:r>
              <w:t xml:space="preserve"> election</w:t>
            </w:r>
            <w:r>
              <w:t xml:space="preserve"> r</w:t>
            </w:r>
            <w:r>
              <w:t>eturns</w:t>
            </w:r>
            <w:r>
              <w:t>, on its website</w:t>
            </w:r>
            <w:r>
              <w:t xml:space="preserve">. </w:t>
            </w:r>
            <w:r>
              <w:t>C.S.</w:t>
            </w:r>
            <w:r>
              <w:t xml:space="preserve">H.B. 2628 seeks to </w:t>
            </w:r>
            <w:r>
              <w:t xml:space="preserve">provide for this online </w:t>
            </w:r>
            <w:r>
              <w:t>posting of election returns</w:t>
            </w:r>
            <w:r>
              <w:t xml:space="preserve"> by </w:t>
            </w:r>
            <w:r>
              <w:t>revising</w:t>
            </w:r>
            <w:r>
              <w:t xml:space="preserve"> the </w:t>
            </w:r>
            <w:r>
              <w:t xml:space="preserve">manner of </w:t>
            </w:r>
            <w:r>
              <w:t>reporting and maintaining certain information relating to candidates and election returns</w:t>
            </w:r>
            <w:r>
              <w:t>.</w:t>
            </w:r>
          </w:p>
          <w:p w:rsidR="008423E4" w:rsidRPr="00E26B13" w:rsidRDefault="00225D91" w:rsidP="009E6841">
            <w:pPr>
              <w:rPr>
                <w:b/>
              </w:rPr>
            </w:pPr>
          </w:p>
        </w:tc>
      </w:tr>
      <w:tr w:rsidR="008C29DF" w:rsidTr="00345119">
        <w:tc>
          <w:tcPr>
            <w:tcW w:w="9576" w:type="dxa"/>
          </w:tcPr>
          <w:p w:rsidR="0017725B" w:rsidRDefault="00225D91" w:rsidP="009E68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25D91" w:rsidP="009E6841">
            <w:pPr>
              <w:rPr>
                <w:b/>
                <w:u w:val="single"/>
              </w:rPr>
            </w:pPr>
          </w:p>
          <w:p w:rsidR="00CD6E0F" w:rsidRPr="00CD6E0F" w:rsidRDefault="00225D91" w:rsidP="009E6841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25D91" w:rsidP="009E6841">
            <w:pPr>
              <w:rPr>
                <w:b/>
                <w:u w:val="single"/>
              </w:rPr>
            </w:pPr>
          </w:p>
        </w:tc>
      </w:tr>
      <w:tr w:rsidR="008C29DF" w:rsidTr="00345119">
        <w:tc>
          <w:tcPr>
            <w:tcW w:w="9576" w:type="dxa"/>
          </w:tcPr>
          <w:p w:rsidR="008423E4" w:rsidRPr="00A8133F" w:rsidRDefault="00225D91" w:rsidP="009E68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25D91" w:rsidP="009E6841"/>
          <w:p w:rsidR="00CD6E0F" w:rsidRDefault="00225D91" w:rsidP="009E6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225D91" w:rsidP="009E6841">
            <w:pPr>
              <w:rPr>
                <w:b/>
              </w:rPr>
            </w:pPr>
          </w:p>
        </w:tc>
      </w:tr>
      <w:tr w:rsidR="008C29DF" w:rsidTr="00345119">
        <w:tc>
          <w:tcPr>
            <w:tcW w:w="9576" w:type="dxa"/>
          </w:tcPr>
          <w:p w:rsidR="008423E4" w:rsidRPr="00A8133F" w:rsidRDefault="00225D91" w:rsidP="009E68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25D91" w:rsidP="009E6841"/>
          <w:p w:rsidR="008423E4" w:rsidRDefault="00225D91" w:rsidP="009E6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2628 amends the Election Code to </w:t>
            </w:r>
            <w:r>
              <w:t>include an election for a county or precinct office among the elections for whi</w:t>
            </w:r>
            <w:r>
              <w:t>ch the county clerk is required to prepare county election returns. The bill removes the requirement for county election return</w:t>
            </w:r>
            <w:r>
              <w:t xml:space="preserve">s </w:t>
            </w:r>
            <w:r>
              <w:t>to be</w:t>
            </w:r>
            <w:r>
              <w:t xml:space="preserve"> delivered</w:t>
            </w:r>
            <w:r>
              <w:t xml:space="preserve"> </w:t>
            </w:r>
            <w:r>
              <w:t xml:space="preserve">in a </w:t>
            </w:r>
            <w:r>
              <w:t>sealed</w:t>
            </w:r>
            <w:r>
              <w:t xml:space="preserve"> envelope</w:t>
            </w:r>
            <w:r>
              <w:t xml:space="preserve"> </w:t>
            </w:r>
            <w:r>
              <w:t xml:space="preserve">that is </w:t>
            </w:r>
            <w:r>
              <w:t>labeled with the applicable county and election and removes the requirement for th</w:t>
            </w:r>
            <w:r>
              <w:t xml:space="preserve">e secretary of state to deliver officially prescribed envelopes for delivering the returns to the secretary. </w:t>
            </w:r>
          </w:p>
          <w:p w:rsidR="00444379" w:rsidRDefault="00225D91" w:rsidP="009E6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44379" w:rsidRDefault="00225D91" w:rsidP="009E6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2628 </w:t>
            </w:r>
            <w:r>
              <w:t xml:space="preserve">specifies that the method by which </w:t>
            </w:r>
            <w:r>
              <w:t xml:space="preserve">any changes in a political party's county or precinct chairs </w:t>
            </w:r>
            <w:r>
              <w:t xml:space="preserve">must be reported </w:t>
            </w:r>
            <w:r>
              <w:t>to the secretary o</w:t>
            </w:r>
            <w:r>
              <w:t xml:space="preserve">f state </w:t>
            </w:r>
            <w:r>
              <w:t>is</w:t>
            </w:r>
            <w:r w:rsidRPr="00BD461F">
              <w:t xml:space="preserve"> </w:t>
            </w:r>
            <w:r>
              <w:t>by posting online in the database</w:t>
            </w:r>
            <w:r>
              <w:t xml:space="preserve"> maintained for </w:t>
            </w:r>
            <w:r w:rsidRPr="00FA0A4D">
              <w:t>th</w:t>
            </w:r>
            <w:r>
              <w:t>is</w:t>
            </w:r>
            <w:r w:rsidRPr="00FA0A4D">
              <w:t xml:space="preserve"> purpose</w:t>
            </w:r>
            <w:r>
              <w:t xml:space="preserve">. </w:t>
            </w:r>
            <w:r w:rsidRPr="00736E68">
              <w:t xml:space="preserve">The bill </w:t>
            </w:r>
            <w:r>
              <w:t xml:space="preserve">changes the manner in which </w:t>
            </w:r>
            <w:r>
              <w:t>state and county chairs</w:t>
            </w:r>
            <w:r>
              <w:t xml:space="preserve"> are required</w:t>
            </w:r>
            <w:r>
              <w:t xml:space="preserve"> </w:t>
            </w:r>
            <w:r>
              <w:t>to submit t</w:t>
            </w:r>
            <w:r w:rsidRPr="00736E68">
              <w:t xml:space="preserve">he requisite candidate information pertaining to primary election candidates </w:t>
            </w:r>
            <w:r>
              <w:t xml:space="preserve">for purposes of the </w:t>
            </w:r>
            <w:r>
              <w:t xml:space="preserve">secretary of state's </w:t>
            </w:r>
            <w:r>
              <w:t xml:space="preserve">online database </w:t>
            </w:r>
            <w:r>
              <w:t xml:space="preserve">by </w:t>
            </w:r>
            <w:r>
              <w:t>requir</w:t>
            </w:r>
            <w:r>
              <w:t>ing</w:t>
            </w:r>
            <w:r>
              <w:t xml:space="preserve"> the</w:t>
            </w:r>
            <w:r w:rsidRPr="00736E68">
              <w:t xml:space="preserve"> </w:t>
            </w:r>
            <w:r>
              <w:t xml:space="preserve">chairs to submit the </w:t>
            </w:r>
            <w:r>
              <w:t xml:space="preserve">information </w:t>
            </w:r>
            <w:r w:rsidRPr="00736E68">
              <w:t>electronically.</w:t>
            </w:r>
            <w:r>
              <w:t xml:space="preserve"> The bill specifies t</w:t>
            </w:r>
            <w:r>
              <w:t xml:space="preserve">hat </w:t>
            </w:r>
            <w:r>
              <w:t xml:space="preserve">the method by which the secretary of state is required to be notified if a candidate withdraws, dies, or is declared ineligible, </w:t>
            </w:r>
            <w:r>
              <w:t>or if the candidate's application is determined not to comply with the applicable requirements</w:t>
            </w:r>
            <w:r>
              <w:t>,</w:t>
            </w:r>
            <w:r>
              <w:t xml:space="preserve"> is </w:t>
            </w:r>
            <w:r>
              <w:t>by electronic submission to the secretary</w:t>
            </w:r>
            <w:r>
              <w:t xml:space="preserve"> of state'</w:t>
            </w:r>
            <w:r>
              <w:t xml:space="preserve">s website. The bill </w:t>
            </w:r>
            <w:r>
              <w:t xml:space="preserve">replaces the requirement for the secretary of state to archive and keep available for </w:t>
            </w:r>
            <w:r>
              <w:t xml:space="preserve">inspection a list of all candidates for whom </w:t>
            </w:r>
            <w:r w:rsidRPr="00736E68">
              <w:t>the requisite information has been submitted</w:t>
            </w:r>
            <w:r>
              <w:t xml:space="preserve"> and to prescribe methodology for distribution to each county clerk and state chair with a requirement for the secretary of state to make that list available on the se</w:t>
            </w:r>
            <w:r>
              <w:t>cretary of state's websit</w:t>
            </w:r>
            <w:r>
              <w:t xml:space="preserve">e and </w:t>
            </w:r>
            <w:r>
              <w:t>to archive the list on the website for historical purposes after the election</w:t>
            </w:r>
            <w:r>
              <w:t xml:space="preserve">. </w:t>
            </w:r>
          </w:p>
          <w:p w:rsidR="00950538" w:rsidRPr="009E6841" w:rsidRDefault="00225D91" w:rsidP="009E684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F84E3A" w:rsidRDefault="00225D91" w:rsidP="009E6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736E68">
              <w:t xml:space="preserve">H.B. 2628 </w:t>
            </w:r>
            <w:r w:rsidRPr="00736E68">
              <w:t xml:space="preserve">revises the </w:t>
            </w:r>
            <w:r w:rsidRPr="00736E68">
              <w:t xml:space="preserve">requirements </w:t>
            </w:r>
            <w:r>
              <w:t>for public notice of</w:t>
            </w:r>
            <w:r w:rsidRPr="00736E68">
              <w:t xml:space="preserve"> an extended </w:t>
            </w:r>
            <w:r>
              <w:t xml:space="preserve">deadline for </w:t>
            </w:r>
            <w:r w:rsidRPr="00736E68">
              <w:t>filing an application for a place on the ballot due to a wi</w:t>
            </w:r>
            <w:r w:rsidRPr="00736E68">
              <w:t>thdrawn, deceased, or ineligible candidate by</w:t>
            </w:r>
            <w:r w:rsidRPr="00736E68">
              <w:t xml:space="preserve"> </w:t>
            </w:r>
            <w:r>
              <w:t>requiring</w:t>
            </w:r>
            <w:r w:rsidRPr="00736E68">
              <w:t xml:space="preserve"> the authority </w:t>
            </w:r>
            <w:r>
              <w:t xml:space="preserve">preparing the notice </w:t>
            </w:r>
            <w:r w:rsidRPr="00736E68">
              <w:t xml:space="preserve">to post the notice on the authority's website, if one is maintained, and </w:t>
            </w:r>
            <w:r w:rsidRPr="00736E68">
              <w:t xml:space="preserve">additionally </w:t>
            </w:r>
            <w:r w:rsidRPr="00736E68">
              <w:t>to deliver a copy of the notice</w:t>
            </w:r>
            <w:r>
              <w:t xml:space="preserve"> </w:t>
            </w:r>
            <w:r>
              <w:t>to</w:t>
            </w:r>
            <w:r w:rsidRPr="00736E68">
              <w:t>, as applicable</w:t>
            </w:r>
            <w:r w:rsidRPr="00736E68">
              <w:t>:</w:t>
            </w:r>
            <w:r w:rsidRPr="00736E68">
              <w:t xml:space="preserve"> </w:t>
            </w:r>
          </w:p>
          <w:p w:rsidR="00FF2523" w:rsidRDefault="00225D91" w:rsidP="009E684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for a candidate for an offi</w:t>
            </w:r>
            <w:r>
              <w:t>ce filled by voters of a single county:</w:t>
            </w:r>
          </w:p>
          <w:p w:rsidR="00FF2523" w:rsidRDefault="00225D91" w:rsidP="009E6841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at least one daily newspaper published in the county or, if none, at least one weekly newspaper published there, if any; and</w:t>
            </w:r>
          </w:p>
          <w:p w:rsidR="00FF2523" w:rsidRDefault="00225D91" w:rsidP="009E6841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county clerk, to be posted on the county clerk's website; or</w:t>
            </w:r>
          </w:p>
          <w:p w:rsidR="00FF2523" w:rsidRDefault="00225D91" w:rsidP="009E684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for a candidate for an </w:t>
            </w:r>
            <w:r>
              <w:t>office filled by voters of more than one county:</w:t>
            </w:r>
          </w:p>
          <w:p w:rsidR="00FF2523" w:rsidRDefault="00225D91" w:rsidP="009E6841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at least three daily newspapers that regularly maintain a news representative at the State Capitol; and</w:t>
            </w:r>
          </w:p>
          <w:p w:rsidR="00C87EF9" w:rsidRDefault="00225D91" w:rsidP="009E6841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736E68">
              <w:t>the secretary of state, to be posted on the secretary of state's website.</w:t>
            </w:r>
          </w:p>
          <w:p w:rsidR="002859AB" w:rsidRDefault="00225D91" w:rsidP="009E6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437EC" w:rsidRDefault="00225D91" w:rsidP="009E6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2628 includes "accepted" and "rejected" among the notations the secretary</w:t>
            </w:r>
            <w:r>
              <w:t xml:space="preserve"> of state is required to develop</w:t>
            </w:r>
            <w:r>
              <w:t xml:space="preserve"> to describe the status of each primary candidate</w:t>
            </w:r>
            <w:r>
              <w:t xml:space="preserve"> and</w:t>
            </w:r>
            <w:r>
              <w:t xml:space="preserve"> </w:t>
            </w:r>
            <w:r w:rsidRPr="00E636BF">
              <w:t xml:space="preserve">excepts </w:t>
            </w:r>
            <w:r w:rsidRPr="00C22B99">
              <w:t>the county chair</w:t>
            </w:r>
            <w:r>
              <w:t xml:space="preserve"> from the requirement to update those notations after each general p</w:t>
            </w:r>
            <w:r>
              <w:t xml:space="preserve">rimary and runoff primary election if the secretary of state's website automatically updates the notations based on election returns. </w:t>
            </w:r>
          </w:p>
          <w:p w:rsidR="005437EC" w:rsidRDefault="00225D91" w:rsidP="009E6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859AB" w:rsidRDefault="00225D91" w:rsidP="009E6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2628</w:t>
            </w:r>
            <w:r>
              <w:t xml:space="preserve"> </w:t>
            </w:r>
            <w:r>
              <w:t>expands</w:t>
            </w:r>
            <w:r>
              <w:t xml:space="preserve"> </w:t>
            </w:r>
            <w:r>
              <w:t xml:space="preserve">the contents of </w:t>
            </w:r>
            <w:r>
              <w:t xml:space="preserve">the list required to be delivered to the secretary of state by an authority </w:t>
            </w:r>
            <w:r>
              <w:t>with w</w:t>
            </w:r>
            <w:r>
              <w:t xml:space="preserve">hom an application for nomination </w:t>
            </w:r>
            <w:r w:rsidRPr="005437EC">
              <w:t>by a convention</w:t>
            </w:r>
            <w:r>
              <w:t xml:space="preserve"> </w:t>
            </w:r>
            <w:r>
              <w:t xml:space="preserve">is filed </w:t>
            </w:r>
            <w:r>
              <w:t xml:space="preserve">by including </w:t>
            </w:r>
            <w:r>
              <w:t xml:space="preserve">any additional information required by the secretary of state </w:t>
            </w:r>
            <w:r>
              <w:t>and requires the list</w:t>
            </w:r>
            <w:r>
              <w:t xml:space="preserve"> to</w:t>
            </w:r>
            <w:r>
              <w:t xml:space="preserve"> be in a format prescribed by the secretary</w:t>
            </w:r>
            <w:r>
              <w:t xml:space="preserve"> of state</w:t>
            </w:r>
            <w:r>
              <w:t>.</w:t>
            </w:r>
            <w:r>
              <w:t xml:space="preserve"> The bill </w:t>
            </w:r>
            <w:r>
              <w:t>changes the format in which the pre</w:t>
            </w:r>
            <w:r>
              <w:t xml:space="preserve">siding officer of </w:t>
            </w:r>
            <w:r>
              <w:t>a</w:t>
            </w:r>
            <w:r w:rsidRPr="005437EC">
              <w:t xml:space="preserve"> convention</w:t>
            </w:r>
            <w:r>
              <w:t xml:space="preserve"> held by a party with state organization</w:t>
            </w:r>
            <w:r>
              <w:t xml:space="preserve"> is required to certify for placement on the general election ballot the name and address of each candidate nominated by the convention from </w:t>
            </w:r>
            <w:r>
              <w:t>a written format</w:t>
            </w:r>
            <w:r>
              <w:t xml:space="preserve"> to</w:t>
            </w:r>
            <w:r>
              <w:t xml:space="preserve"> a</w:t>
            </w:r>
            <w:r>
              <w:t xml:space="preserve"> </w:t>
            </w:r>
            <w:r>
              <w:t>format prescribed by th</w:t>
            </w:r>
            <w:r>
              <w:t>e secretary</w:t>
            </w:r>
            <w:r>
              <w:t xml:space="preserve"> of state</w:t>
            </w:r>
            <w:r>
              <w:t>.</w:t>
            </w:r>
          </w:p>
          <w:p w:rsidR="008423E4" w:rsidRPr="00835628" w:rsidRDefault="00225D91" w:rsidP="009E6841">
            <w:pPr>
              <w:rPr>
                <w:b/>
              </w:rPr>
            </w:pPr>
          </w:p>
        </w:tc>
      </w:tr>
      <w:tr w:rsidR="008C29DF" w:rsidTr="00345119">
        <w:tc>
          <w:tcPr>
            <w:tcW w:w="9576" w:type="dxa"/>
          </w:tcPr>
          <w:p w:rsidR="008423E4" w:rsidRPr="00A8133F" w:rsidRDefault="00225D91" w:rsidP="009E68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25D91" w:rsidP="009E6841"/>
          <w:p w:rsidR="008423E4" w:rsidRPr="003624F2" w:rsidRDefault="00225D91" w:rsidP="009E6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25D91" w:rsidP="009E6841">
            <w:pPr>
              <w:rPr>
                <w:b/>
              </w:rPr>
            </w:pPr>
          </w:p>
        </w:tc>
      </w:tr>
      <w:tr w:rsidR="008C29DF" w:rsidTr="00345119">
        <w:tc>
          <w:tcPr>
            <w:tcW w:w="9576" w:type="dxa"/>
          </w:tcPr>
          <w:p w:rsidR="005A11C9" w:rsidRDefault="00225D91" w:rsidP="009E684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54808" w:rsidRDefault="00225D91" w:rsidP="009E6841">
            <w:pPr>
              <w:jc w:val="both"/>
            </w:pPr>
          </w:p>
          <w:p w:rsidR="00954808" w:rsidRDefault="00225D91" w:rsidP="009E6841">
            <w:pPr>
              <w:jc w:val="both"/>
            </w:pPr>
            <w:r>
              <w:t xml:space="preserve">While C.S.H.B. 2628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:rsidR="00954808" w:rsidRDefault="00225D91" w:rsidP="009E6841">
            <w:pPr>
              <w:jc w:val="both"/>
            </w:pPr>
          </w:p>
          <w:p w:rsidR="00954808" w:rsidRDefault="00225D91" w:rsidP="009E6841">
            <w:pPr>
              <w:jc w:val="both"/>
            </w:pPr>
            <w:r>
              <w:t>The substitute does not include a prohibition against a county or precinct chair participating in any votes of an executive committee unless the chair's information has been reported to the secreta</w:t>
            </w:r>
            <w:r>
              <w:t>ry of state.</w:t>
            </w:r>
          </w:p>
          <w:p w:rsidR="00954808" w:rsidRDefault="00225D91" w:rsidP="009E6841">
            <w:pPr>
              <w:jc w:val="both"/>
            </w:pPr>
          </w:p>
          <w:p w:rsidR="00954808" w:rsidRDefault="00225D91" w:rsidP="009E6841">
            <w:pPr>
              <w:jc w:val="both"/>
            </w:pPr>
            <w:r>
              <w:t xml:space="preserve">The substitute does not remove </w:t>
            </w:r>
            <w:r>
              <w:t xml:space="preserve">certain </w:t>
            </w:r>
            <w:r>
              <w:t xml:space="preserve">requirements </w:t>
            </w:r>
            <w:r>
              <w:t>for an</w:t>
            </w:r>
            <w:r>
              <w:t xml:space="preserve"> authority ordering an election </w:t>
            </w:r>
            <w:r>
              <w:t xml:space="preserve">to </w:t>
            </w:r>
            <w:r>
              <w:t>deliver the applicable notice to certain newspapers.</w:t>
            </w:r>
          </w:p>
          <w:p w:rsidR="00954808" w:rsidRPr="00954808" w:rsidRDefault="00225D91" w:rsidP="009E6841">
            <w:pPr>
              <w:jc w:val="both"/>
            </w:pPr>
          </w:p>
        </w:tc>
      </w:tr>
      <w:tr w:rsidR="008C29DF" w:rsidTr="00345119">
        <w:tc>
          <w:tcPr>
            <w:tcW w:w="9576" w:type="dxa"/>
          </w:tcPr>
          <w:p w:rsidR="005A11C9" w:rsidRPr="009C1E9A" w:rsidRDefault="00225D91" w:rsidP="009E6841">
            <w:pPr>
              <w:rPr>
                <w:b/>
                <w:u w:val="single"/>
              </w:rPr>
            </w:pPr>
          </w:p>
        </w:tc>
      </w:tr>
      <w:tr w:rsidR="008C29DF" w:rsidTr="00345119">
        <w:tc>
          <w:tcPr>
            <w:tcW w:w="9576" w:type="dxa"/>
          </w:tcPr>
          <w:p w:rsidR="005A11C9" w:rsidRPr="005A11C9" w:rsidRDefault="00225D91" w:rsidP="009E6841">
            <w:pPr>
              <w:jc w:val="both"/>
            </w:pPr>
          </w:p>
        </w:tc>
      </w:tr>
    </w:tbl>
    <w:p w:rsidR="008423E4" w:rsidRPr="00BE0E75" w:rsidRDefault="00225D9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25D9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5D91">
      <w:r>
        <w:separator/>
      </w:r>
    </w:p>
  </w:endnote>
  <w:endnote w:type="continuationSeparator" w:id="0">
    <w:p w:rsidR="00000000" w:rsidRDefault="0022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5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29DF" w:rsidTr="009C1E9A">
      <w:trPr>
        <w:cantSplit/>
      </w:trPr>
      <w:tc>
        <w:tcPr>
          <w:tcW w:w="0" w:type="pct"/>
        </w:tcPr>
        <w:p w:rsidR="00137D90" w:rsidRDefault="00225D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25D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25D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25D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25D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29DF" w:rsidTr="009C1E9A">
      <w:trPr>
        <w:cantSplit/>
      </w:trPr>
      <w:tc>
        <w:tcPr>
          <w:tcW w:w="0" w:type="pct"/>
        </w:tcPr>
        <w:p w:rsidR="00EC379B" w:rsidRDefault="00225D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25D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31900</w:t>
          </w:r>
        </w:p>
      </w:tc>
      <w:tc>
        <w:tcPr>
          <w:tcW w:w="2453" w:type="pct"/>
        </w:tcPr>
        <w:p w:rsidR="00EC379B" w:rsidRDefault="00225D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19.124.99</w:t>
          </w:r>
          <w:r>
            <w:fldChar w:fldCharType="end"/>
          </w:r>
        </w:p>
      </w:tc>
    </w:tr>
    <w:tr w:rsidR="008C29DF" w:rsidTr="009C1E9A">
      <w:trPr>
        <w:cantSplit/>
      </w:trPr>
      <w:tc>
        <w:tcPr>
          <w:tcW w:w="0" w:type="pct"/>
        </w:tcPr>
        <w:p w:rsidR="00EC379B" w:rsidRDefault="00225D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25D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30960</w:t>
          </w:r>
        </w:p>
      </w:tc>
      <w:tc>
        <w:tcPr>
          <w:tcW w:w="2453" w:type="pct"/>
        </w:tcPr>
        <w:p w:rsidR="00EC379B" w:rsidRDefault="00225D91" w:rsidP="006D504F">
          <w:pPr>
            <w:pStyle w:val="Footer"/>
            <w:rPr>
              <w:rStyle w:val="PageNumber"/>
            </w:rPr>
          </w:pPr>
        </w:p>
        <w:p w:rsidR="00EC379B" w:rsidRDefault="00225D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29D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25D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25D9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25D9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5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5D91">
      <w:r>
        <w:separator/>
      </w:r>
    </w:p>
  </w:footnote>
  <w:footnote w:type="continuationSeparator" w:id="0">
    <w:p w:rsidR="00000000" w:rsidRDefault="0022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5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5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5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57920"/>
    <w:multiLevelType w:val="hybridMultilevel"/>
    <w:tmpl w:val="1590A61C"/>
    <w:lvl w:ilvl="0" w:tplc="98BE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C9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4C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2E7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435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A2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8E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C3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6C7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009DE"/>
    <w:multiLevelType w:val="hybridMultilevel"/>
    <w:tmpl w:val="91480FDC"/>
    <w:lvl w:ilvl="0" w:tplc="F2AEC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4BC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5A2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65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CC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842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05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AF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7CE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DF"/>
    <w:rsid w:val="00225D91"/>
    <w:rsid w:val="008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91C38D-0F44-498B-9265-32D1FAE4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43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4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43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4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4379"/>
    <w:rPr>
      <w:b/>
      <w:bCs/>
    </w:rPr>
  </w:style>
  <w:style w:type="paragraph" w:styleId="Revision">
    <w:name w:val="Revision"/>
    <w:hidden/>
    <w:uiPriority w:val="99"/>
    <w:semiHidden/>
    <w:rsid w:val="004443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4596</Characters>
  <Application>Microsoft Office Word</Application>
  <DocSecurity>4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HB02628 (Committee Report (Substituted))</vt:lpstr>
    </vt:vector>
  </TitlesOfParts>
  <Company>State of Texas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31900</dc:subject>
  <dc:creator>State of Texas</dc:creator>
  <dc:description>HB 2628 by Vo-(H)Elections (Substitute Document Number: 86R 30960)</dc:description>
  <cp:lastModifiedBy>Erin Conway</cp:lastModifiedBy>
  <cp:revision>2</cp:revision>
  <cp:lastPrinted>2003-11-26T17:21:00Z</cp:lastPrinted>
  <dcterms:created xsi:type="dcterms:W3CDTF">2019-05-06T21:49:00Z</dcterms:created>
  <dcterms:modified xsi:type="dcterms:W3CDTF">2019-05-06T21:49:00Z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19.124.99</vt:lpwstr>
  </property>
</Properties>
</file>