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107C" w:rsidTr="00345119">
        <w:tc>
          <w:tcPr>
            <w:tcW w:w="9576" w:type="dxa"/>
            <w:noWrap/>
          </w:tcPr>
          <w:p w:rsidR="008423E4" w:rsidRPr="0022177D" w:rsidRDefault="00CC66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666D" w:rsidP="008423E4">
      <w:pPr>
        <w:jc w:val="center"/>
      </w:pPr>
    </w:p>
    <w:p w:rsidR="008423E4" w:rsidRPr="00B31F0E" w:rsidRDefault="00CC666D" w:rsidP="008423E4"/>
    <w:p w:rsidR="008423E4" w:rsidRPr="00742794" w:rsidRDefault="00CC66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107C" w:rsidTr="00345119">
        <w:tc>
          <w:tcPr>
            <w:tcW w:w="9576" w:type="dxa"/>
          </w:tcPr>
          <w:p w:rsidR="008423E4" w:rsidRPr="00861995" w:rsidRDefault="00CC666D" w:rsidP="00345119">
            <w:pPr>
              <w:jc w:val="right"/>
            </w:pPr>
            <w:r>
              <w:t>C.S.H.B. 2631</w:t>
            </w:r>
          </w:p>
        </w:tc>
      </w:tr>
      <w:tr w:rsidR="0066107C" w:rsidTr="00345119">
        <w:tc>
          <w:tcPr>
            <w:tcW w:w="9576" w:type="dxa"/>
          </w:tcPr>
          <w:p w:rsidR="008423E4" w:rsidRPr="00861995" w:rsidRDefault="00CC666D" w:rsidP="00A71F6A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66107C" w:rsidTr="00345119">
        <w:tc>
          <w:tcPr>
            <w:tcW w:w="9576" w:type="dxa"/>
          </w:tcPr>
          <w:p w:rsidR="008423E4" w:rsidRPr="00861995" w:rsidRDefault="00CC666D" w:rsidP="00345119">
            <w:pPr>
              <w:jc w:val="right"/>
            </w:pPr>
            <w:r>
              <w:t>Insurance</w:t>
            </w:r>
          </w:p>
        </w:tc>
      </w:tr>
      <w:tr w:rsidR="0066107C" w:rsidTr="00345119">
        <w:tc>
          <w:tcPr>
            <w:tcW w:w="9576" w:type="dxa"/>
          </w:tcPr>
          <w:p w:rsidR="008423E4" w:rsidRDefault="00CC666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666D" w:rsidP="008423E4">
      <w:pPr>
        <w:tabs>
          <w:tab w:val="right" w:pos="9360"/>
        </w:tabs>
      </w:pPr>
    </w:p>
    <w:p w:rsidR="008423E4" w:rsidRDefault="00CC666D" w:rsidP="008423E4"/>
    <w:p w:rsidR="008423E4" w:rsidRDefault="00CC66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107C" w:rsidTr="00345119">
        <w:tc>
          <w:tcPr>
            <w:tcW w:w="9576" w:type="dxa"/>
          </w:tcPr>
          <w:p w:rsidR="008423E4" w:rsidRPr="00A8133F" w:rsidRDefault="00CC666D" w:rsidP="00715C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666D" w:rsidP="00715CDD"/>
          <w:p w:rsidR="008423E4" w:rsidRDefault="00CC666D" w:rsidP="00715CDD">
            <w:pPr>
              <w:pStyle w:val="Header"/>
              <w:jc w:val="both"/>
            </w:pPr>
            <w:r>
              <w:t>It has been suggested that the</w:t>
            </w:r>
            <w:r>
              <w:t xml:space="preserve"> process and </w:t>
            </w:r>
            <w:r>
              <w:t>duration required</w:t>
            </w:r>
            <w:r>
              <w:t xml:space="preserve"> to become an in-network provider in Texas is too burdensome </w:t>
            </w:r>
            <w:r>
              <w:t xml:space="preserve">and too long </w:t>
            </w:r>
            <w:r>
              <w:t>for practitioners</w:t>
            </w:r>
            <w:r>
              <w:t xml:space="preserve"> and </w:t>
            </w:r>
            <w:r>
              <w:t xml:space="preserve">physicians. </w:t>
            </w:r>
            <w:r>
              <w:t>C.S.</w:t>
            </w:r>
            <w:r>
              <w:t xml:space="preserve">H.B. 2631 seeks to address this issue by </w:t>
            </w:r>
            <w:r>
              <w:t>streamlining the credentialing process</w:t>
            </w:r>
            <w:r>
              <w:t xml:space="preserve">. </w:t>
            </w:r>
          </w:p>
          <w:p w:rsidR="008423E4" w:rsidRPr="00E26B13" w:rsidRDefault="00CC666D" w:rsidP="00715CDD">
            <w:pPr>
              <w:rPr>
                <w:b/>
              </w:rPr>
            </w:pPr>
          </w:p>
        </w:tc>
      </w:tr>
      <w:tr w:rsidR="0066107C" w:rsidTr="00345119">
        <w:tc>
          <w:tcPr>
            <w:tcW w:w="9576" w:type="dxa"/>
          </w:tcPr>
          <w:p w:rsidR="0017725B" w:rsidRDefault="00CC666D" w:rsidP="00715C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666D" w:rsidP="00715CDD">
            <w:pPr>
              <w:rPr>
                <w:b/>
                <w:u w:val="single"/>
              </w:rPr>
            </w:pPr>
          </w:p>
          <w:p w:rsidR="00C60CD7" w:rsidRPr="00C60CD7" w:rsidRDefault="00CC666D" w:rsidP="00715CDD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C666D" w:rsidP="00715CDD">
            <w:pPr>
              <w:rPr>
                <w:b/>
                <w:u w:val="single"/>
              </w:rPr>
            </w:pPr>
          </w:p>
        </w:tc>
      </w:tr>
      <w:tr w:rsidR="0066107C" w:rsidTr="00345119">
        <w:tc>
          <w:tcPr>
            <w:tcW w:w="9576" w:type="dxa"/>
          </w:tcPr>
          <w:p w:rsidR="008423E4" w:rsidRPr="00A8133F" w:rsidRDefault="00CC666D" w:rsidP="00715C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666D" w:rsidP="00715CDD"/>
          <w:p w:rsidR="00C60CD7" w:rsidRDefault="00CC666D" w:rsidP="00715C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CC666D" w:rsidP="00715CDD">
            <w:pPr>
              <w:rPr>
                <w:b/>
              </w:rPr>
            </w:pPr>
          </w:p>
        </w:tc>
      </w:tr>
      <w:tr w:rsidR="0066107C" w:rsidTr="00345119">
        <w:tc>
          <w:tcPr>
            <w:tcW w:w="9576" w:type="dxa"/>
          </w:tcPr>
          <w:p w:rsidR="008423E4" w:rsidRPr="00A8133F" w:rsidRDefault="00CC666D" w:rsidP="00715C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666D" w:rsidP="00715CDD"/>
          <w:p w:rsidR="00AC21FA" w:rsidRDefault="00CC666D" w:rsidP="00715CDD">
            <w:pPr>
              <w:pStyle w:val="Header"/>
              <w:jc w:val="both"/>
            </w:pPr>
            <w:r>
              <w:t>C.S.</w:t>
            </w:r>
            <w:r>
              <w:t xml:space="preserve">H.B. 2631 amends the Insurance Code to require a managed care plan issuer to </w:t>
            </w:r>
            <w:r w:rsidRPr="00262633">
              <w:t>determine in a reasonable time</w:t>
            </w:r>
            <w:r>
              <w:t>,</w:t>
            </w:r>
            <w:r w:rsidRPr="00262633">
              <w:t xml:space="preserve"> in accordance </w:t>
            </w:r>
            <w:r w:rsidRPr="00065044">
              <w:t xml:space="preserve">with </w:t>
            </w:r>
            <w:r w:rsidRPr="00065044">
              <w:t>commissioner of insurance rule</w:t>
            </w:r>
            <w:r>
              <w:t>,</w:t>
            </w:r>
            <w:r w:rsidRPr="00262633">
              <w:t xml:space="preserve"> whether to credential a physician or health care practitioner who is not eligible for expedited credentialing</w:t>
            </w:r>
            <w:r>
              <w:t xml:space="preserve">. </w:t>
            </w:r>
            <w:r>
              <w:t>The bill requires an issuer</w:t>
            </w:r>
            <w:r>
              <w:t>, on receipt of a credentialing application,</w:t>
            </w:r>
            <w:r>
              <w:t xml:space="preserve"> to provide notice </w:t>
            </w:r>
            <w:r w:rsidRPr="0012011D">
              <w:t xml:space="preserve">to </w:t>
            </w:r>
            <w:r>
              <w:t>an</w:t>
            </w:r>
            <w:r w:rsidRPr="0012011D">
              <w:t xml:space="preserve"> applicant of the </w:t>
            </w:r>
            <w:r w:rsidRPr="0012011D">
              <w:t>effect of failure to meet the issuer's credentialing requirements</w:t>
            </w:r>
            <w:r>
              <w:t xml:space="preserve"> if </w:t>
            </w:r>
            <w:r w:rsidRPr="00A12302">
              <w:t>the applicant elects to be considered a participating provider</w:t>
            </w:r>
            <w:r>
              <w:t xml:space="preserve">. </w:t>
            </w:r>
            <w:r>
              <w:t xml:space="preserve">The bill requires an issuer, on </w:t>
            </w:r>
            <w:r>
              <w:t xml:space="preserve">election by the applicant after receiving </w:t>
            </w:r>
            <w:r>
              <w:t xml:space="preserve">such </w:t>
            </w:r>
            <w:r>
              <w:t xml:space="preserve">notice from the issuer and on </w:t>
            </w:r>
            <w:r w:rsidRPr="00116F23">
              <w:t>agreement to p</w:t>
            </w:r>
            <w:r w:rsidRPr="00116F23">
              <w:t xml:space="preserve">articipating provider contract terms by </w:t>
            </w:r>
            <w:r>
              <w:t>the</w:t>
            </w:r>
            <w:r w:rsidRPr="00116F23">
              <w:t xml:space="preserve"> </w:t>
            </w:r>
            <w:r w:rsidRPr="00116F23">
              <w:t xml:space="preserve">applicant and </w:t>
            </w:r>
            <w:r>
              <w:t>the</w:t>
            </w:r>
            <w:r w:rsidRPr="00116F23">
              <w:t xml:space="preserve"> issuer</w:t>
            </w:r>
            <w:r>
              <w:t xml:space="preserve">, to treat the applicant as if the applicant is a participating provider </w:t>
            </w:r>
            <w:r w:rsidRPr="00116F23">
              <w:t>in the managed care plan network when the applicant provides services to the plan's enrollees</w:t>
            </w:r>
            <w:r>
              <w:t>.</w:t>
            </w:r>
            <w:r>
              <w:t xml:space="preserve"> </w:t>
            </w:r>
            <w:r>
              <w:t>The bill sets out th</w:t>
            </w:r>
            <w:r>
              <w:t>e eligibility requirements</w:t>
            </w:r>
            <w:r>
              <w:t xml:space="preserve"> for an applicant</w:t>
            </w:r>
            <w:r>
              <w:t xml:space="preserve"> to qualify for credentialing and payment under the bill's provisions</w:t>
            </w:r>
            <w:r>
              <w:t xml:space="preserve"> </w:t>
            </w:r>
            <w:r w:rsidRPr="00065044">
              <w:t xml:space="preserve">and the amount </w:t>
            </w:r>
            <w:r>
              <w:t xml:space="preserve">of payment </w:t>
            </w:r>
            <w:r w:rsidRPr="00065044">
              <w:t>the issuer and applicant</w:t>
            </w:r>
            <w:r w:rsidRPr="00065044">
              <w:t xml:space="preserve"> may recover or retain</w:t>
            </w:r>
            <w:r w:rsidRPr="00065044">
              <w:t>, respectively,</w:t>
            </w:r>
            <w:r w:rsidRPr="00065044">
              <w:t xml:space="preserve"> </w:t>
            </w:r>
            <w:r w:rsidRPr="00065044">
              <w:t xml:space="preserve">if the issuer determines </w:t>
            </w:r>
            <w:r>
              <w:t>an applicant who made an elect</w:t>
            </w:r>
            <w:r>
              <w:t>ion</w:t>
            </w:r>
            <w:r w:rsidRPr="00065044">
              <w:t xml:space="preserve"> </w:t>
            </w:r>
            <w:r w:rsidRPr="00065044">
              <w:t>does not meet the issuer's credentialing requirements.</w:t>
            </w:r>
            <w:r>
              <w:t xml:space="preserve"> </w:t>
            </w:r>
          </w:p>
          <w:p w:rsidR="00AC21FA" w:rsidRDefault="00CC666D" w:rsidP="00715CDD">
            <w:pPr>
              <w:pStyle w:val="Header"/>
              <w:jc w:val="both"/>
            </w:pPr>
          </w:p>
          <w:p w:rsidR="00AC21FA" w:rsidRDefault="00CC666D" w:rsidP="00715CDD">
            <w:pPr>
              <w:pStyle w:val="Header"/>
              <w:jc w:val="both"/>
            </w:pPr>
            <w:r>
              <w:t>C.S.H.B. 2631</w:t>
            </w:r>
            <w:r>
              <w:t xml:space="preserve"> establishes that an enrollee in a managed care plan is not responsible and is held </w:t>
            </w:r>
            <w:r>
              <w:t>harmless for</w:t>
            </w:r>
            <w:r w:rsidRPr="00A14CBA">
              <w:t xml:space="preserve"> the difference between in-network copayments paid by the enrollee to an applicant who </w:t>
            </w:r>
            <w:r>
              <w:t>fails to</w:t>
            </w:r>
            <w:r>
              <w:t xml:space="preserve"> meet the issuer's credentialing requirements </w:t>
            </w:r>
            <w:r w:rsidRPr="00A14CBA">
              <w:t>and the plan's charges for out</w:t>
            </w:r>
            <w:r>
              <w:noBreakHyphen/>
            </w:r>
            <w:r w:rsidRPr="00A14CBA">
              <w:t>of</w:t>
            </w:r>
            <w:r>
              <w:noBreakHyphen/>
            </w:r>
            <w:r w:rsidRPr="00A14CBA">
              <w:t>network services</w:t>
            </w:r>
            <w:r>
              <w:t>. The bill</w:t>
            </w:r>
            <w:r>
              <w:t xml:space="preserve"> prohibits</w:t>
            </w:r>
            <w:r>
              <w:t xml:space="preserve"> such</w:t>
            </w:r>
            <w:r>
              <w:t xml:space="preserve"> an </w:t>
            </w:r>
            <w:r w:rsidRPr="00A14CBA">
              <w:t xml:space="preserve">applicant </w:t>
            </w:r>
            <w:r>
              <w:t>from charging</w:t>
            </w:r>
            <w:r w:rsidRPr="00A14CBA">
              <w:t xml:space="preserve"> the enrollee</w:t>
            </w:r>
            <w:r w:rsidRPr="00A14CBA">
              <w:t xml:space="preserve"> for any portion of the amount that is not paid or reimbursed by the enrollee's plan.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exempts </w:t>
            </w:r>
            <w:r>
              <w:t xml:space="preserve">an issuer that complies with the bill's provisions from </w:t>
            </w:r>
            <w:r w:rsidRPr="00CB221E">
              <w:t>liability for damages arising out of or in connection with, directly or indirectly, the payment b</w:t>
            </w:r>
            <w:r w:rsidRPr="00CB221E">
              <w:t>y the issuer of an applicant as if the applicant were a participating provider in the managed care plan network.</w:t>
            </w:r>
            <w:r>
              <w:t xml:space="preserve"> </w:t>
            </w:r>
          </w:p>
          <w:p w:rsidR="00AC21FA" w:rsidRDefault="00CC666D" w:rsidP="00715CDD">
            <w:pPr>
              <w:pStyle w:val="Header"/>
              <w:jc w:val="both"/>
            </w:pPr>
          </w:p>
          <w:p w:rsidR="00D64D36" w:rsidRDefault="00CC666D" w:rsidP="00715CDD">
            <w:pPr>
              <w:pStyle w:val="Header"/>
              <w:jc w:val="both"/>
            </w:pPr>
            <w:r>
              <w:t>C.S.</w:t>
            </w:r>
            <w:r>
              <w:t>H.B. 2631</w:t>
            </w:r>
            <w:r>
              <w:t xml:space="preserve"> requires </w:t>
            </w:r>
            <w:r>
              <w:t>an issuer</w:t>
            </w:r>
            <w:r>
              <w:t xml:space="preserve"> to </w:t>
            </w:r>
            <w:r w:rsidRPr="00CB221E">
              <w:t xml:space="preserve">make available all relevant information to the </w:t>
            </w:r>
            <w:r>
              <w:t>Texas Department of Insurance (TDI)</w:t>
            </w:r>
            <w:r w:rsidRPr="00CB221E">
              <w:t xml:space="preserve"> to allow </w:t>
            </w:r>
            <w:r>
              <w:t>TDI</w:t>
            </w:r>
            <w:r w:rsidRPr="00CB221E">
              <w:t xml:space="preserve"> to audit </w:t>
            </w:r>
            <w:r w:rsidRPr="00CB221E">
              <w:t>the credentialing process to determine compliance with</w:t>
            </w:r>
            <w:r>
              <w:t xml:space="preserve"> the bill's provisions. The bill requires the </w:t>
            </w:r>
            <w:r>
              <w:t>o</w:t>
            </w:r>
            <w:r>
              <w:t xml:space="preserve">ffice of </w:t>
            </w:r>
            <w:r>
              <w:t>p</w:t>
            </w:r>
            <w:r>
              <w:t xml:space="preserve">ublic </w:t>
            </w:r>
            <w:r>
              <w:t>i</w:t>
            </w:r>
            <w:r>
              <w:t xml:space="preserve">nsurance </w:t>
            </w:r>
            <w:r>
              <w:t>c</w:t>
            </w:r>
            <w:r>
              <w:t>ounsel</w:t>
            </w:r>
            <w:r>
              <w:t>, using existing resources,</w:t>
            </w:r>
            <w:r>
              <w:t xml:space="preserve"> to create and publish an annual report on the </w:t>
            </w:r>
            <w:r>
              <w:t xml:space="preserve">counsel's </w:t>
            </w:r>
            <w:r>
              <w:t>website of the largest managed care pl</w:t>
            </w:r>
            <w:r>
              <w:t xml:space="preserve">an issuers in </w:t>
            </w:r>
            <w:r>
              <w:t>Texas</w:t>
            </w:r>
            <w:r>
              <w:t xml:space="preserve"> and </w:t>
            </w:r>
            <w:r>
              <w:t xml:space="preserve">to </w:t>
            </w:r>
            <w:r>
              <w:t>include information for each issuer on</w:t>
            </w:r>
            <w:r>
              <w:t>:</w:t>
            </w:r>
            <w:r>
              <w:t xml:space="preserve"> </w:t>
            </w:r>
          </w:p>
          <w:p w:rsidR="00D64D36" w:rsidRDefault="00CC666D" w:rsidP="00715CD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issuer's network a</w:t>
            </w:r>
            <w:r>
              <w:t>dequacy</w:t>
            </w:r>
            <w:r>
              <w:t>;</w:t>
            </w:r>
          </w:p>
          <w:p w:rsidR="00D64D36" w:rsidRDefault="00CC666D" w:rsidP="00715CD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percentage of enrollees receiving a bill from an out-of-network provider due to provider charges unpaid by the issuer and the enrollee's responsibil</w:t>
            </w:r>
            <w:r>
              <w:t>ity u</w:t>
            </w:r>
            <w:r>
              <w:t>nder the plan</w:t>
            </w:r>
            <w:r>
              <w:t>; and</w:t>
            </w:r>
          </w:p>
          <w:p w:rsidR="008423E4" w:rsidRDefault="00CC666D" w:rsidP="00715CD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impact of issuer credentialing policies on network adequacy and enrollee payment of out-of-network charges.</w:t>
            </w:r>
          </w:p>
          <w:p w:rsidR="00A14CBA" w:rsidRPr="00835628" w:rsidRDefault="00CC666D" w:rsidP="00715CDD">
            <w:pPr>
              <w:pStyle w:val="Header"/>
              <w:jc w:val="both"/>
              <w:rPr>
                <w:b/>
              </w:rPr>
            </w:pPr>
          </w:p>
        </w:tc>
      </w:tr>
      <w:tr w:rsidR="0066107C" w:rsidTr="00345119">
        <w:tc>
          <w:tcPr>
            <w:tcW w:w="9576" w:type="dxa"/>
          </w:tcPr>
          <w:p w:rsidR="008423E4" w:rsidRPr="00A8133F" w:rsidRDefault="00CC666D" w:rsidP="00715C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666D" w:rsidP="00715CDD"/>
          <w:p w:rsidR="008423E4" w:rsidRPr="003624F2" w:rsidRDefault="00CC666D" w:rsidP="00715C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0CD7">
              <w:t>September 1, 2019.</w:t>
            </w:r>
          </w:p>
          <w:p w:rsidR="008423E4" w:rsidRPr="00233FDB" w:rsidRDefault="00CC666D" w:rsidP="00715CDD">
            <w:pPr>
              <w:rPr>
                <w:b/>
              </w:rPr>
            </w:pPr>
          </w:p>
        </w:tc>
      </w:tr>
      <w:tr w:rsidR="0066107C" w:rsidTr="00345119">
        <w:tc>
          <w:tcPr>
            <w:tcW w:w="9576" w:type="dxa"/>
          </w:tcPr>
          <w:p w:rsidR="00A71F6A" w:rsidRDefault="00CC666D" w:rsidP="00715CD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12302" w:rsidRDefault="00CC666D" w:rsidP="00715CDD">
            <w:pPr>
              <w:jc w:val="both"/>
            </w:pPr>
          </w:p>
          <w:p w:rsidR="00A12302" w:rsidRDefault="00CC666D" w:rsidP="00715CDD">
            <w:pPr>
              <w:jc w:val="both"/>
            </w:pPr>
            <w:r>
              <w:t xml:space="preserve">While C.S.H.B. 2631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A12302" w:rsidRDefault="00CC666D" w:rsidP="00715CDD">
            <w:pPr>
              <w:jc w:val="both"/>
            </w:pPr>
          </w:p>
          <w:p w:rsidR="009F4F7F" w:rsidRDefault="00CC666D" w:rsidP="00715CDD">
            <w:pPr>
              <w:jc w:val="both"/>
            </w:pPr>
            <w:r>
              <w:t xml:space="preserve">The substitute includes a requirement </w:t>
            </w:r>
            <w:r>
              <w:t xml:space="preserve">for </w:t>
            </w:r>
            <w:r>
              <w:t xml:space="preserve">an issuer </w:t>
            </w:r>
            <w:r>
              <w:t xml:space="preserve">to </w:t>
            </w:r>
            <w:r>
              <w:t>provide certain applicants with not</w:t>
            </w:r>
            <w:r>
              <w:t xml:space="preserve">ice of the </w:t>
            </w:r>
            <w:r w:rsidRPr="00A12302">
              <w:t>effect of failure to meet the issuer's credentialing requirements</w:t>
            </w:r>
            <w:r>
              <w:t xml:space="preserve">. </w:t>
            </w:r>
          </w:p>
          <w:p w:rsidR="009F4F7F" w:rsidRDefault="00CC666D" w:rsidP="00715CDD">
            <w:pPr>
              <w:jc w:val="both"/>
            </w:pPr>
          </w:p>
          <w:p w:rsidR="00A12302" w:rsidRDefault="00CC666D" w:rsidP="00715CDD">
            <w:pPr>
              <w:jc w:val="both"/>
            </w:pPr>
            <w:r>
              <w:t xml:space="preserve">The substitute includes a specification </w:t>
            </w:r>
            <w:r>
              <w:t xml:space="preserve">for </w:t>
            </w:r>
            <w:r>
              <w:t xml:space="preserve">the </w:t>
            </w:r>
            <w:r w:rsidRPr="009F4F7F">
              <w:t>office of public insurance counsel</w:t>
            </w:r>
            <w:r>
              <w:t xml:space="preserve"> to</w:t>
            </w:r>
            <w:r>
              <w:t xml:space="preserve"> use existing resources in creating and publishing the required annual report. </w:t>
            </w:r>
          </w:p>
          <w:p w:rsidR="00A12302" w:rsidRPr="00A12302" w:rsidRDefault="00CC666D" w:rsidP="00715CDD">
            <w:pPr>
              <w:jc w:val="both"/>
            </w:pPr>
          </w:p>
        </w:tc>
      </w:tr>
    </w:tbl>
    <w:p w:rsidR="008423E4" w:rsidRPr="00BE0E75" w:rsidRDefault="00CC66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666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666D">
      <w:r>
        <w:separator/>
      </w:r>
    </w:p>
  </w:endnote>
  <w:endnote w:type="continuationSeparator" w:id="0">
    <w:p w:rsidR="00000000" w:rsidRDefault="00C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107C" w:rsidTr="009C1E9A">
      <w:trPr>
        <w:cantSplit/>
      </w:trPr>
      <w:tc>
        <w:tcPr>
          <w:tcW w:w="0" w:type="pct"/>
        </w:tcPr>
        <w:p w:rsidR="00137D90" w:rsidRDefault="00CC6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66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66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6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6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07C" w:rsidTr="009C1E9A">
      <w:trPr>
        <w:cantSplit/>
      </w:trPr>
      <w:tc>
        <w:tcPr>
          <w:tcW w:w="0" w:type="pct"/>
        </w:tcPr>
        <w:p w:rsidR="00EC379B" w:rsidRDefault="00CC6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66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26446</w:t>
          </w:r>
        </w:p>
      </w:tc>
      <w:tc>
        <w:tcPr>
          <w:tcW w:w="2453" w:type="pct"/>
        </w:tcPr>
        <w:p w:rsidR="00EC379B" w:rsidRDefault="00CC6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19.101.515</w:t>
          </w:r>
          <w:r>
            <w:fldChar w:fldCharType="end"/>
          </w:r>
        </w:p>
      </w:tc>
    </w:tr>
    <w:tr w:rsidR="0066107C" w:rsidTr="009C1E9A">
      <w:trPr>
        <w:cantSplit/>
      </w:trPr>
      <w:tc>
        <w:tcPr>
          <w:tcW w:w="0" w:type="pct"/>
        </w:tcPr>
        <w:p w:rsidR="00EC379B" w:rsidRDefault="00CC66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66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24397</w:t>
          </w:r>
        </w:p>
      </w:tc>
      <w:tc>
        <w:tcPr>
          <w:tcW w:w="2453" w:type="pct"/>
        </w:tcPr>
        <w:p w:rsidR="00EC379B" w:rsidRDefault="00CC666D" w:rsidP="006D504F">
          <w:pPr>
            <w:pStyle w:val="Footer"/>
            <w:rPr>
              <w:rStyle w:val="PageNumber"/>
            </w:rPr>
          </w:pPr>
        </w:p>
        <w:p w:rsidR="00EC379B" w:rsidRDefault="00CC6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10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66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C66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66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666D">
      <w:r>
        <w:separator/>
      </w:r>
    </w:p>
  </w:footnote>
  <w:footnote w:type="continuationSeparator" w:id="0">
    <w:p w:rsidR="00000000" w:rsidRDefault="00CC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861"/>
    <w:multiLevelType w:val="hybridMultilevel"/>
    <w:tmpl w:val="2B1E97F8"/>
    <w:lvl w:ilvl="0" w:tplc="905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61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CB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02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68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29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E7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1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C6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C"/>
    <w:rsid w:val="0066107C"/>
    <w:rsid w:val="00C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089A5-2BE6-47CB-808A-56DA4C3B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0C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0C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3557</Characters>
  <Application>Microsoft Office Word</Application>
  <DocSecurity>4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HB02631 (Committee Report (Substituted))</vt:lpstr>
    </vt:vector>
  </TitlesOfParts>
  <Company>State of Texas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26446</dc:subject>
  <dc:creator>State of Texas</dc:creator>
  <dc:description>HB 2631 by Johnson, Julie-(H)Insurance (Substitute Document Number: 86R 24397)</dc:description>
  <cp:lastModifiedBy>Erin Conway</cp:lastModifiedBy>
  <cp:revision>2</cp:revision>
  <cp:lastPrinted>2003-11-26T17:21:00Z</cp:lastPrinted>
  <dcterms:created xsi:type="dcterms:W3CDTF">2019-04-16T01:49:00Z</dcterms:created>
  <dcterms:modified xsi:type="dcterms:W3CDTF">2019-04-16T01:49:00Z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19.101.515</vt:lpwstr>
  </property>
</Properties>
</file>