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F3341" w:rsidTr="00345119">
        <w:tc>
          <w:tcPr>
            <w:tcW w:w="9576" w:type="dxa"/>
            <w:noWrap/>
          </w:tcPr>
          <w:p w:rsidR="008423E4" w:rsidRPr="0022177D" w:rsidRDefault="00184C6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84C68" w:rsidP="008423E4">
      <w:pPr>
        <w:jc w:val="center"/>
      </w:pPr>
    </w:p>
    <w:p w:rsidR="008423E4" w:rsidRPr="00B31F0E" w:rsidRDefault="00184C68" w:rsidP="008423E4"/>
    <w:p w:rsidR="008423E4" w:rsidRPr="00742794" w:rsidRDefault="00184C6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F3341" w:rsidTr="00345119">
        <w:tc>
          <w:tcPr>
            <w:tcW w:w="9576" w:type="dxa"/>
          </w:tcPr>
          <w:p w:rsidR="008423E4" w:rsidRPr="00861995" w:rsidRDefault="00184C68" w:rsidP="00345119">
            <w:pPr>
              <w:jc w:val="right"/>
            </w:pPr>
            <w:r>
              <w:t>H.B. 2638</w:t>
            </w:r>
          </w:p>
        </w:tc>
      </w:tr>
      <w:tr w:rsidR="003F3341" w:rsidTr="00345119">
        <w:tc>
          <w:tcPr>
            <w:tcW w:w="9576" w:type="dxa"/>
          </w:tcPr>
          <w:p w:rsidR="008423E4" w:rsidRPr="00861995" w:rsidRDefault="00184C68" w:rsidP="009123D2">
            <w:pPr>
              <w:jc w:val="right"/>
            </w:pPr>
            <w:r>
              <w:t xml:space="preserve">By: </w:t>
            </w:r>
            <w:r>
              <w:t>Calanni</w:t>
            </w:r>
          </w:p>
        </w:tc>
      </w:tr>
      <w:tr w:rsidR="003F3341" w:rsidTr="00345119">
        <w:tc>
          <w:tcPr>
            <w:tcW w:w="9576" w:type="dxa"/>
          </w:tcPr>
          <w:p w:rsidR="008423E4" w:rsidRPr="00861995" w:rsidRDefault="00184C68" w:rsidP="00345119">
            <w:pPr>
              <w:jc w:val="right"/>
            </w:pPr>
            <w:r>
              <w:t>Judiciary &amp; Civil Jurisprudence</w:t>
            </w:r>
          </w:p>
        </w:tc>
      </w:tr>
      <w:tr w:rsidR="003F3341" w:rsidTr="00345119">
        <w:tc>
          <w:tcPr>
            <w:tcW w:w="9576" w:type="dxa"/>
          </w:tcPr>
          <w:p w:rsidR="008423E4" w:rsidRDefault="00184C6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84C68" w:rsidP="008423E4">
      <w:pPr>
        <w:tabs>
          <w:tab w:val="right" w:pos="9360"/>
        </w:tabs>
      </w:pPr>
    </w:p>
    <w:p w:rsidR="008423E4" w:rsidRDefault="00184C68" w:rsidP="008423E4"/>
    <w:p w:rsidR="008423E4" w:rsidRDefault="00184C6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F3341" w:rsidTr="00345119">
        <w:tc>
          <w:tcPr>
            <w:tcW w:w="9576" w:type="dxa"/>
          </w:tcPr>
          <w:p w:rsidR="008423E4" w:rsidRPr="00A8133F" w:rsidRDefault="00184C68" w:rsidP="0008569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84C68" w:rsidP="00085699"/>
          <w:p w:rsidR="008423E4" w:rsidRDefault="00184C68" w:rsidP="0008569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regarding </w:t>
            </w:r>
            <w:r>
              <w:t xml:space="preserve">the lack of flexibility of local judicial systems </w:t>
            </w:r>
            <w:r>
              <w:t>following the occurrence of a</w:t>
            </w:r>
            <w:r>
              <w:t xml:space="preserve"> disaster. It has been suggested that the authority for judicial regions to designate alternate locations for judicial proceedings is too narrow and </w:t>
            </w:r>
            <w:r>
              <w:t xml:space="preserve">unfairly </w:t>
            </w:r>
            <w:r>
              <w:t>excludes</w:t>
            </w:r>
            <w:r>
              <w:t xml:space="preserve"> certain</w:t>
            </w:r>
            <w:r>
              <w:t xml:space="preserve"> regions</w:t>
            </w:r>
            <w:r w:rsidRPr="00E8154E">
              <w:t>.</w:t>
            </w:r>
            <w:r>
              <w:t xml:space="preserve"> H.B. 2638 seeks to provide this flexibility by removing </w:t>
            </w:r>
            <w:r>
              <w:t>certain limitati</w:t>
            </w:r>
            <w:r>
              <w:t>ons on</w:t>
            </w:r>
            <w:r>
              <w:t xml:space="preserve"> the relocation of the proceedings of a district or county court </w:t>
            </w:r>
            <w:r>
              <w:t>following</w:t>
            </w:r>
            <w:r>
              <w:t xml:space="preserve"> a disaster.</w:t>
            </w:r>
          </w:p>
          <w:p w:rsidR="008423E4" w:rsidRPr="00E26B13" w:rsidRDefault="00184C68" w:rsidP="00085699">
            <w:pPr>
              <w:rPr>
                <w:b/>
              </w:rPr>
            </w:pPr>
          </w:p>
        </w:tc>
      </w:tr>
      <w:tr w:rsidR="003F3341" w:rsidTr="00345119">
        <w:tc>
          <w:tcPr>
            <w:tcW w:w="9576" w:type="dxa"/>
          </w:tcPr>
          <w:p w:rsidR="0017725B" w:rsidRDefault="00184C68" w:rsidP="0008569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84C68" w:rsidP="00085699">
            <w:pPr>
              <w:rPr>
                <w:b/>
                <w:u w:val="single"/>
              </w:rPr>
            </w:pPr>
          </w:p>
          <w:p w:rsidR="00175AA6" w:rsidRPr="00175AA6" w:rsidRDefault="00184C68" w:rsidP="00085699">
            <w:pPr>
              <w:jc w:val="both"/>
            </w:pPr>
            <w:r>
              <w:t>It is the committee's opinion that this bill does not expressly create a criminal offense, increase the punishment for an existing crimi</w:t>
            </w:r>
            <w:r>
              <w:t>nal offense or category of offenses, or change the eligibility of a person for community supervision, parole, or mandatory supervision.</w:t>
            </w:r>
          </w:p>
          <w:p w:rsidR="0017725B" w:rsidRPr="0017725B" w:rsidRDefault="00184C68" w:rsidP="00085699">
            <w:pPr>
              <w:rPr>
                <w:b/>
                <w:u w:val="single"/>
              </w:rPr>
            </w:pPr>
          </w:p>
        </w:tc>
      </w:tr>
      <w:tr w:rsidR="003F3341" w:rsidTr="00345119">
        <w:tc>
          <w:tcPr>
            <w:tcW w:w="9576" w:type="dxa"/>
          </w:tcPr>
          <w:p w:rsidR="008423E4" w:rsidRPr="00A8133F" w:rsidRDefault="00184C68" w:rsidP="0008569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84C68" w:rsidP="00085699"/>
          <w:p w:rsidR="00175AA6" w:rsidRDefault="00184C68" w:rsidP="0008569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</w:t>
            </w:r>
            <w:r>
              <w:t xml:space="preserve"> authority to a state officer, department, agency, or institution.</w:t>
            </w:r>
          </w:p>
          <w:p w:rsidR="008423E4" w:rsidRPr="00E21FDC" w:rsidRDefault="00184C68" w:rsidP="00085699">
            <w:pPr>
              <w:rPr>
                <w:b/>
              </w:rPr>
            </w:pPr>
          </w:p>
        </w:tc>
      </w:tr>
      <w:tr w:rsidR="003F3341" w:rsidTr="00345119">
        <w:tc>
          <w:tcPr>
            <w:tcW w:w="9576" w:type="dxa"/>
          </w:tcPr>
          <w:p w:rsidR="008423E4" w:rsidRPr="00A8133F" w:rsidRDefault="00184C68" w:rsidP="0008569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84C68" w:rsidP="00085699"/>
          <w:p w:rsidR="00C94727" w:rsidRDefault="00184C68" w:rsidP="0008569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2638 amends the Government Code to remove language limiting provisions that authorize </w:t>
            </w:r>
            <w:r>
              <w:t xml:space="preserve">certain </w:t>
            </w:r>
            <w:r>
              <w:t xml:space="preserve">alternate </w:t>
            </w:r>
            <w:r>
              <w:t xml:space="preserve">locations for </w:t>
            </w:r>
            <w:r>
              <w:t xml:space="preserve">the proceedings of </w:t>
            </w:r>
            <w:r>
              <w:t xml:space="preserve">a </w:t>
            </w:r>
            <w:r w:rsidRPr="009366FC">
              <w:t>district c</w:t>
            </w:r>
            <w:r>
              <w:t xml:space="preserve">ourt, statutory county court, </w:t>
            </w:r>
            <w:r>
              <w:t>or</w:t>
            </w:r>
            <w:r w:rsidRPr="009366FC">
              <w:t xml:space="preserve"> </w:t>
            </w:r>
            <w:r>
              <w:t xml:space="preserve">constitutional </w:t>
            </w:r>
            <w:r w:rsidRPr="009366FC">
              <w:t xml:space="preserve">county court </w:t>
            </w:r>
            <w:r>
              <w:t>under circumstances re</w:t>
            </w:r>
            <w:r>
              <w:t xml:space="preserve">lating to a disaster to a first </w:t>
            </w:r>
            <w:r>
              <w:t xml:space="preserve">tier coastal county or second tier coastal county </w:t>
            </w:r>
            <w:r w:rsidRPr="006B021E">
              <w:t>as defined by the Texas Windstorm Insurance Association Act</w:t>
            </w:r>
            <w:r>
              <w:t xml:space="preserve">. The bill authorizes </w:t>
            </w:r>
            <w:r w:rsidRPr="001B10DA">
              <w:t>an alterna</w:t>
            </w:r>
            <w:r w:rsidRPr="001B10DA">
              <w:t>te location designated</w:t>
            </w:r>
            <w:r>
              <w:t xml:space="preserve"> for such a court</w:t>
            </w:r>
            <w:r w:rsidRPr="001B10DA">
              <w:t xml:space="preserve"> under circumstances</w:t>
            </w:r>
            <w:r>
              <w:t xml:space="preserve"> relating to a disaster</w:t>
            </w:r>
            <w:r w:rsidRPr="001B10DA">
              <w:t xml:space="preserve"> </w:t>
            </w:r>
            <w:r>
              <w:t xml:space="preserve">to be </w:t>
            </w:r>
            <w:r w:rsidRPr="00CE074C">
              <w:t xml:space="preserve">outside the judicial district </w:t>
            </w:r>
            <w:r>
              <w:t>of the affected court</w:t>
            </w:r>
            <w:r>
              <w:t xml:space="preserve"> or outside the county, as applicable,</w:t>
            </w:r>
            <w:r>
              <w:t xml:space="preserve"> </w:t>
            </w:r>
            <w:r w:rsidRPr="00CE074C">
              <w:t xml:space="preserve">at the location </w:t>
            </w:r>
            <w:r w:rsidRPr="00CE074C">
              <w:t>closest in proximity to the county seat that allows the court</w:t>
            </w:r>
            <w:r w:rsidRPr="00CE074C">
              <w:t xml:space="preserve"> to safely and reasonably</w:t>
            </w:r>
            <w:r>
              <w:t xml:space="preserve"> </w:t>
            </w:r>
            <w:r w:rsidRPr="00CE074C">
              <w:t>conduct its proceedings.</w:t>
            </w:r>
            <w:r>
              <w:t xml:space="preserve"> </w:t>
            </w:r>
          </w:p>
          <w:p w:rsidR="00931B35" w:rsidRDefault="00184C68" w:rsidP="0008569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C94727" w:rsidRDefault="00184C68" w:rsidP="0008569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2638 repeals the following provisions of the Government Code: </w:t>
            </w:r>
          </w:p>
          <w:p w:rsidR="00C94727" w:rsidRDefault="00184C68" w:rsidP="0008569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Section</w:t>
            </w:r>
            <w:r w:rsidRPr="00175AA6">
              <w:t xml:space="preserve"> 24.033(a)</w:t>
            </w:r>
          </w:p>
          <w:p w:rsidR="00175AA6" w:rsidRDefault="00184C68" w:rsidP="0008569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Section </w:t>
            </w:r>
            <w:r w:rsidRPr="00175AA6">
              <w:t>25.0019(a)</w:t>
            </w:r>
          </w:p>
          <w:p w:rsidR="00175AA6" w:rsidRDefault="00184C68" w:rsidP="0002513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Section </w:t>
            </w:r>
            <w:r w:rsidRPr="00175AA6">
              <w:t>26.009(a)</w:t>
            </w:r>
          </w:p>
          <w:p w:rsidR="008423E4" w:rsidRPr="00835628" w:rsidRDefault="00184C68" w:rsidP="00085699">
            <w:pPr>
              <w:rPr>
                <w:b/>
              </w:rPr>
            </w:pPr>
          </w:p>
        </w:tc>
      </w:tr>
      <w:tr w:rsidR="003F3341" w:rsidTr="00345119">
        <w:tc>
          <w:tcPr>
            <w:tcW w:w="9576" w:type="dxa"/>
          </w:tcPr>
          <w:p w:rsidR="008423E4" w:rsidRPr="00A8133F" w:rsidRDefault="00184C68" w:rsidP="0008569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84C68" w:rsidP="00085699"/>
          <w:p w:rsidR="008423E4" w:rsidRPr="003624F2" w:rsidRDefault="00184C68" w:rsidP="0008569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184C68" w:rsidP="00085699">
            <w:pPr>
              <w:rPr>
                <w:b/>
              </w:rPr>
            </w:pPr>
          </w:p>
        </w:tc>
      </w:tr>
    </w:tbl>
    <w:p w:rsidR="008423E4" w:rsidRPr="00BE0E75" w:rsidRDefault="00184C6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84C68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84C68">
      <w:r>
        <w:separator/>
      </w:r>
    </w:p>
  </w:endnote>
  <w:endnote w:type="continuationSeparator" w:id="0">
    <w:p w:rsidR="00000000" w:rsidRDefault="0018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84C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F3341" w:rsidTr="009C1E9A">
      <w:trPr>
        <w:cantSplit/>
      </w:trPr>
      <w:tc>
        <w:tcPr>
          <w:tcW w:w="0" w:type="pct"/>
        </w:tcPr>
        <w:p w:rsidR="00137D90" w:rsidRDefault="00184C6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84C6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84C6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84C6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84C6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F3341" w:rsidTr="009C1E9A">
      <w:trPr>
        <w:cantSplit/>
      </w:trPr>
      <w:tc>
        <w:tcPr>
          <w:tcW w:w="0" w:type="pct"/>
        </w:tcPr>
        <w:p w:rsidR="00EC379B" w:rsidRDefault="00184C6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84C6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24514</w:t>
          </w:r>
        </w:p>
      </w:tc>
      <w:tc>
        <w:tcPr>
          <w:tcW w:w="2453" w:type="pct"/>
        </w:tcPr>
        <w:p w:rsidR="00EC379B" w:rsidRDefault="00184C6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19.96.83</w:t>
          </w:r>
          <w:r>
            <w:fldChar w:fldCharType="end"/>
          </w:r>
        </w:p>
      </w:tc>
    </w:tr>
    <w:tr w:rsidR="003F3341" w:rsidTr="009C1E9A">
      <w:trPr>
        <w:cantSplit/>
      </w:trPr>
      <w:tc>
        <w:tcPr>
          <w:tcW w:w="0" w:type="pct"/>
        </w:tcPr>
        <w:p w:rsidR="00EC379B" w:rsidRDefault="00184C6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84C6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84C68" w:rsidP="006D504F">
          <w:pPr>
            <w:pStyle w:val="Footer"/>
            <w:rPr>
              <w:rStyle w:val="PageNumber"/>
            </w:rPr>
          </w:pPr>
        </w:p>
        <w:p w:rsidR="00EC379B" w:rsidRDefault="00184C6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F334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84C6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84C6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84C6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84C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84C68">
      <w:r>
        <w:separator/>
      </w:r>
    </w:p>
  </w:footnote>
  <w:footnote w:type="continuationSeparator" w:id="0">
    <w:p w:rsidR="00000000" w:rsidRDefault="00184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84C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84C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84C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07F95"/>
    <w:multiLevelType w:val="hybridMultilevel"/>
    <w:tmpl w:val="A3020664"/>
    <w:lvl w:ilvl="0" w:tplc="C41C1F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2AE8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A9E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4863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32D9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F0C9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2883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7EBA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AE3F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41"/>
    <w:rsid w:val="00184C68"/>
    <w:rsid w:val="003F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D3F878B-57F9-44B5-B0DE-B584B242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9472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47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472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4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47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1660</Characters>
  <Application>Microsoft Office Word</Application>
  <DocSecurity>4</DocSecurity>
  <Lines>51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HB02638 (Committee Report (Unamended))</vt:lpstr>
    </vt:vector>
  </TitlesOfParts>
  <Company>State of Texas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24514</dc:subject>
  <dc:creator>State of Texas</dc:creator>
  <dc:description>HB 2638 by Calanni-(H)Judiciary &amp; Civil Jurisprudence</dc:description>
  <cp:lastModifiedBy>Laura Ramsay</cp:lastModifiedBy>
  <cp:revision>2</cp:revision>
  <cp:lastPrinted>2003-11-26T17:21:00Z</cp:lastPrinted>
  <dcterms:created xsi:type="dcterms:W3CDTF">2019-04-25T01:23:00Z</dcterms:created>
  <dcterms:modified xsi:type="dcterms:W3CDTF">2019-04-25T01:23:00Z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19.96.83</vt:lpwstr>
  </property>
</Properties>
</file>