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2EAB" w:rsidTr="00345119">
        <w:tc>
          <w:tcPr>
            <w:tcW w:w="9576" w:type="dxa"/>
            <w:noWrap/>
          </w:tcPr>
          <w:p w:rsidR="008423E4" w:rsidRPr="0022177D" w:rsidRDefault="00C241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4126" w:rsidP="008423E4">
      <w:pPr>
        <w:jc w:val="center"/>
      </w:pPr>
    </w:p>
    <w:p w:rsidR="008423E4" w:rsidRPr="00B31F0E" w:rsidRDefault="00C24126" w:rsidP="008423E4"/>
    <w:p w:rsidR="008423E4" w:rsidRPr="00742794" w:rsidRDefault="00C241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2EAB" w:rsidTr="00345119">
        <w:tc>
          <w:tcPr>
            <w:tcW w:w="9576" w:type="dxa"/>
          </w:tcPr>
          <w:p w:rsidR="008423E4" w:rsidRPr="00861995" w:rsidRDefault="00C24126" w:rsidP="00345119">
            <w:pPr>
              <w:jc w:val="right"/>
            </w:pPr>
            <w:r>
              <w:t>C.S.H.B. 2649</w:t>
            </w:r>
          </w:p>
        </w:tc>
      </w:tr>
      <w:tr w:rsidR="00912EAB" w:rsidTr="00345119">
        <w:tc>
          <w:tcPr>
            <w:tcW w:w="9576" w:type="dxa"/>
          </w:tcPr>
          <w:p w:rsidR="008423E4" w:rsidRPr="00861995" w:rsidRDefault="00C24126" w:rsidP="00FA260A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912EAB" w:rsidTr="00345119">
        <w:tc>
          <w:tcPr>
            <w:tcW w:w="9576" w:type="dxa"/>
          </w:tcPr>
          <w:p w:rsidR="008423E4" w:rsidRPr="00861995" w:rsidRDefault="00C24126" w:rsidP="00345119">
            <w:pPr>
              <w:jc w:val="right"/>
            </w:pPr>
            <w:r>
              <w:t>Pensions, Investments &amp; Financial Services</w:t>
            </w:r>
          </w:p>
        </w:tc>
      </w:tr>
      <w:tr w:rsidR="00912EAB" w:rsidTr="00345119">
        <w:tc>
          <w:tcPr>
            <w:tcW w:w="9576" w:type="dxa"/>
          </w:tcPr>
          <w:p w:rsidR="008423E4" w:rsidRDefault="00C2412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4126" w:rsidP="008423E4">
      <w:pPr>
        <w:tabs>
          <w:tab w:val="right" w:pos="9360"/>
        </w:tabs>
      </w:pPr>
    </w:p>
    <w:p w:rsidR="008423E4" w:rsidRDefault="00C24126" w:rsidP="008423E4"/>
    <w:p w:rsidR="008423E4" w:rsidRDefault="00C241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2EAB" w:rsidTr="00345119">
        <w:tc>
          <w:tcPr>
            <w:tcW w:w="9576" w:type="dxa"/>
          </w:tcPr>
          <w:p w:rsidR="008423E4" w:rsidRPr="00A8133F" w:rsidRDefault="00C24126" w:rsidP="00074C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4126" w:rsidP="00074C05"/>
          <w:p w:rsidR="008423E4" w:rsidRDefault="00C24126" w:rsidP="00074C05">
            <w:pPr>
              <w:pStyle w:val="Header"/>
              <w:jc w:val="both"/>
            </w:pPr>
            <w:r>
              <w:t>It has been</w:t>
            </w:r>
            <w:r>
              <w:t xml:space="preserve"> noted that public pension plans often contract</w:t>
            </w:r>
            <w:r>
              <w:t xml:space="preserve"> for</w:t>
            </w:r>
            <w:r>
              <w:t xml:space="preserve"> investment consulting. </w:t>
            </w:r>
            <w:r>
              <w:t xml:space="preserve">There are concerns </w:t>
            </w:r>
            <w:r>
              <w:t>that funds allocated to contracts seemed to be greater than necessary, especially in the case of plans that</w:t>
            </w:r>
            <w:r>
              <w:t xml:space="preserve"> we</w:t>
            </w:r>
            <w:r>
              <w:t xml:space="preserve">re not actuarially sound. </w:t>
            </w:r>
            <w:r>
              <w:t>C.S.</w:t>
            </w:r>
            <w:r>
              <w:t xml:space="preserve">H.B. 2649 seeks to address this concern by </w:t>
            </w:r>
            <w:r>
              <w:t xml:space="preserve">providing for greater transparency regarding the </w:t>
            </w:r>
            <w:r w:rsidRPr="00427A73">
              <w:t>commissions and fees pai</w:t>
            </w:r>
            <w:r w:rsidRPr="00427A73">
              <w:t>d by a public retirement system to outside consultants o</w:t>
            </w:r>
            <w:r>
              <w:t>the</w:t>
            </w:r>
            <w:r w:rsidRPr="00427A73">
              <w:t xml:space="preserve">r </w:t>
            </w:r>
            <w:r>
              <w:t xml:space="preserve">than </w:t>
            </w:r>
            <w:r w:rsidRPr="00427A73">
              <w:t>investment man</w:t>
            </w:r>
            <w:r>
              <w:t>a</w:t>
            </w:r>
            <w:r w:rsidRPr="00427A73">
              <w:t xml:space="preserve">gers. </w:t>
            </w:r>
          </w:p>
          <w:p w:rsidR="008423E4" w:rsidRPr="00E26B13" w:rsidRDefault="00C24126" w:rsidP="00074C05">
            <w:pPr>
              <w:rPr>
                <w:b/>
              </w:rPr>
            </w:pPr>
          </w:p>
        </w:tc>
      </w:tr>
      <w:tr w:rsidR="00912EAB" w:rsidTr="00345119">
        <w:tc>
          <w:tcPr>
            <w:tcW w:w="9576" w:type="dxa"/>
          </w:tcPr>
          <w:p w:rsidR="0017725B" w:rsidRDefault="00C24126" w:rsidP="00074C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4126" w:rsidP="00074C05">
            <w:pPr>
              <w:rPr>
                <w:b/>
                <w:u w:val="single"/>
              </w:rPr>
            </w:pPr>
          </w:p>
          <w:p w:rsidR="007F085E" w:rsidRPr="007F085E" w:rsidRDefault="00C24126" w:rsidP="00074C05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C24126" w:rsidP="00074C05">
            <w:pPr>
              <w:rPr>
                <w:b/>
                <w:u w:val="single"/>
              </w:rPr>
            </w:pPr>
          </w:p>
        </w:tc>
      </w:tr>
      <w:tr w:rsidR="00912EAB" w:rsidTr="00345119">
        <w:tc>
          <w:tcPr>
            <w:tcW w:w="9576" w:type="dxa"/>
          </w:tcPr>
          <w:p w:rsidR="008423E4" w:rsidRPr="00A8133F" w:rsidRDefault="00C24126" w:rsidP="00074C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4126" w:rsidP="00074C05"/>
          <w:p w:rsidR="007F085E" w:rsidRDefault="00C24126" w:rsidP="00074C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C24126" w:rsidP="00074C05">
            <w:pPr>
              <w:rPr>
                <w:b/>
              </w:rPr>
            </w:pPr>
          </w:p>
        </w:tc>
      </w:tr>
      <w:tr w:rsidR="00912EAB" w:rsidTr="00345119">
        <w:tc>
          <w:tcPr>
            <w:tcW w:w="9576" w:type="dxa"/>
          </w:tcPr>
          <w:p w:rsidR="008423E4" w:rsidRPr="00A8133F" w:rsidRDefault="00C24126" w:rsidP="00074C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4126" w:rsidP="00074C05"/>
          <w:p w:rsidR="008423E4" w:rsidRDefault="00C24126" w:rsidP="00074C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2649 amends the Government Code to</w:t>
            </w:r>
            <w:r>
              <w:t xml:space="preserve"> require the</w:t>
            </w:r>
            <w:r>
              <w:t xml:space="preserve"> </w:t>
            </w:r>
            <w:r>
              <w:t xml:space="preserve">annual financial report published by the governing body of a public retirement system to </w:t>
            </w:r>
            <w:r>
              <w:t>include</w:t>
            </w:r>
            <w:r>
              <w:t xml:space="preserve"> </w:t>
            </w:r>
            <w:r>
              <w:t>a statement that details</w:t>
            </w:r>
            <w:r>
              <w:t xml:space="preserve"> </w:t>
            </w:r>
            <w:r>
              <w:t xml:space="preserve">the commissions and fees paid by a public retirement system to outside consultants </w:t>
            </w:r>
            <w:r>
              <w:t xml:space="preserve">other than </w:t>
            </w:r>
            <w:r>
              <w:t>investment man</w:t>
            </w:r>
            <w:r>
              <w:t>a</w:t>
            </w:r>
            <w:r>
              <w:t>gers during the fiscal year. The bill requires the State Pension Review Board and the governing body of a retirement system to post such a stateme</w:t>
            </w:r>
            <w:r>
              <w:t xml:space="preserve">nt on their respective websites.  </w:t>
            </w:r>
          </w:p>
          <w:p w:rsidR="008423E4" w:rsidRPr="00835628" w:rsidRDefault="00C24126" w:rsidP="00074C05">
            <w:pPr>
              <w:rPr>
                <w:b/>
              </w:rPr>
            </w:pPr>
          </w:p>
        </w:tc>
      </w:tr>
      <w:tr w:rsidR="00912EAB" w:rsidTr="00345119">
        <w:tc>
          <w:tcPr>
            <w:tcW w:w="9576" w:type="dxa"/>
          </w:tcPr>
          <w:p w:rsidR="008423E4" w:rsidRPr="00A8133F" w:rsidRDefault="00C24126" w:rsidP="00074C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4126" w:rsidP="00074C05"/>
          <w:p w:rsidR="008423E4" w:rsidRPr="003624F2" w:rsidRDefault="00C24126" w:rsidP="00074C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24126" w:rsidP="00074C05">
            <w:pPr>
              <w:rPr>
                <w:b/>
              </w:rPr>
            </w:pPr>
          </w:p>
        </w:tc>
      </w:tr>
      <w:tr w:rsidR="00912EAB" w:rsidTr="00345119">
        <w:tc>
          <w:tcPr>
            <w:tcW w:w="9576" w:type="dxa"/>
          </w:tcPr>
          <w:p w:rsidR="00FA260A" w:rsidRDefault="00C24126" w:rsidP="00074C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941A6" w:rsidRDefault="00C24126" w:rsidP="00074C05">
            <w:pPr>
              <w:jc w:val="both"/>
            </w:pPr>
          </w:p>
          <w:p w:rsidR="004941A6" w:rsidRDefault="00C24126" w:rsidP="00074C05">
            <w:pPr>
              <w:jc w:val="both"/>
            </w:pPr>
            <w:r>
              <w:t>While C.S.H.B. 2649 may differ from the original in minor or nonsubstantive ways, the following summarizes the substantial differences between</w:t>
            </w:r>
            <w:r>
              <w:t xml:space="preserve"> the introduced and committee substitute versions of the bill.</w:t>
            </w:r>
          </w:p>
          <w:p w:rsidR="004941A6" w:rsidRDefault="00C24126" w:rsidP="00074C05">
            <w:pPr>
              <w:jc w:val="both"/>
            </w:pPr>
          </w:p>
          <w:p w:rsidR="004941A6" w:rsidRDefault="00C24126" w:rsidP="00074C05">
            <w:pPr>
              <w:jc w:val="both"/>
            </w:pPr>
            <w:r>
              <w:t xml:space="preserve">The substitute </w:t>
            </w:r>
            <w:r>
              <w:t xml:space="preserve">limits the outside consultants whose commissions and fees paid </w:t>
            </w:r>
            <w:r>
              <w:t xml:space="preserve">by a public retirement system </w:t>
            </w:r>
            <w:r>
              <w:t xml:space="preserve">must be </w:t>
            </w:r>
            <w:r>
              <w:t>include</w:t>
            </w:r>
            <w:r>
              <w:t>d in the applicable annual financial report to consultants other than</w:t>
            </w:r>
            <w:r>
              <w:t xml:space="preserve"> </w:t>
            </w:r>
            <w:r>
              <w:t>investment managers</w:t>
            </w:r>
            <w:r>
              <w:t>.</w:t>
            </w:r>
          </w:p>
          <w:p w:rsidR="004941A6" w:rsidRPr="004941A6" w:rsidRDefault="00C24126" w:rsidP="00074C05">
            <w:pPr>
              <w:jc w:val="both"/>
            </w:pPr>
          </w:p>
        </w:tc>
      </w:tr>
      <w:tr w:rsidR="00912EAB" w:rsidTr="00345119">
        <w:tc>
          <w:tcPr>
            <w:tcW w:w="9576" w:type="dxa"/>
          </w:tcPr>
          <w:p w:rsidR="00FA260A" w:rsidRPr="009C1E9A" w:rsidRDefault="00C24126" w:rsidP="00074C05">
            <w:pPr>
              <w:rPr>
                <w:b/>
                <w:u w:val="single"/>
              </w:rPr>
            </w:pPr>
          </w:p>
        </w:tc>
      </w:tr>
      <w:tr w:rsidR="00912EAB" w:rsidTr="00345119">
        <w:tc>
          <w:tcPr>
            <w:tcW w:w="9576" w:type="dxa"/>
          </w:tcPr>
          <w:p w:rsidR="00FA260A" w:rsidRPr="00FA260A" w:rsidRDefault="00C24126" w:rsidP="00074C05">
            <w:pPr>
              <w:jc w:val="both"/>
            </w:pPr>
          </w:p>
        </w:tc>
      </w:tr>
    </w:tbl>
    <w:p w:rsidR="004108C3" w:rsidRPr="008423E4" w:rsidRDefault="00C241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4126">
      <w:r>
        <w:separator/>
      </w:r>
    </w:p>
  </w:endnote>
  <w:endnote w:type="continuationSeparator" w:id="0">
    <w:p w:rsidR="00000000" w:rsidRDefault="00C2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2EAB" w:rsidTr="009C1E9A">
      <w:trPr>
        <w:cantSplit/>
      </w:trPr>
      <w:tc>
        <w:tcPr>
          <w:tcW w:w="0" w:type="pct"/>
        </w:tcPr>
        <w:p w:rsidR="00137D90" w:rsidRDefault="00C241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41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41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41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4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EAB" w:rsidTr="009C1E9A">
      <w:trPr>
        <w:cantSplit/>
      </w:trPr>
      <w:tc>
        <w:tcPr>
          <w:tcW w:w="0" w:type="pct"/>
        </w:tcPr>
        <w:p w:rsidR="00EC379B" w:rsidRDefault="00C241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41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31502</w:t>
          </w:r>
        </w:p>
      </w:tc>
      <w:tc>
        <w:tcPr>
          <w:tcW w:w="2453" w:type="pct"/>
        </w:tcPr>
        <w:p w:rsidR="00EC379B" w:rsidRDefault="00C24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19.122.1040</w:t>
          </w:r>
          <w:r>
            <w:fldChar w:fldCharType="end"/>
          </w:r>
        </w:p>
      </w:tc>
    </w:tr>
    <w:tr w:rsidR="00912EAB" w:rsidTr="009C1E9A">
      <w:trPr>
        <w:cantSplit/>
      </w:trPr>
      <w:tc>
        <w:tcPr>
          <w:tcW w:w="0" w:type="pct"/>
        </w:tcPr>
        <w:p w:rsidR="00EC379B" w:rsidRDefault="00C241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41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28764</w:t>
          </w:r>
        </w:p>
      </w:tc>
      <w:tc>
        <w:tcPr>
          <w:tcW w:w="2453" w:type="pct"/>
        </w:tcPr>
        <w:p w:rsidR="00EC379B" w:rsidRDefault="00C24126" w:rsidP="006D504F">
          <w:pPr>
            <w:pStyle w:val="Footer"/>
            <w:rPr>
              <w:rStyle w:val="PageNumber"/>
            </w:rPr>
          </w:pPr>
        </w:p>
        <w:p w:rsidR="00EC379B" w:rsidRDefault="00C24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E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41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41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41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4126">
      <w:r>
        <w:separator/>
      </w:r>
    </w:p>
  </w:footnote>
  <w:footnote w:type="continuationSeparator" w:id="0">
    <w:p w:rsidR="00000000" w:rsidRDefault="00C2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B"/>
    <w:rsid w:val="00912EAB"/>
    <w:rsid w:val="00C2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77AE0-9A66-4FAF-A277-A241150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1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5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546"/>
    <w:rPr>
      <w:b/>
      <w:bCs/>
    </w:rPr>
  </w:style>
  <w:style w:type="paragraph" w:styleId="Revision">
    <w:name w:val="Revision"/>
    <w:hidden/>
    <w:uiPriority w:val="99"/>
    <w:semiHidden/>
    <w:rsid w:val="00494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1728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HB02649 (Committee Report (Substituted))</vt:lpstr>
    </vt:vector>
  </TitlesOfParts>
  <Company>State of Texas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31502</dc:subject>
  <dc:creator>State of Texas</dc:creator>
  <dc:description>HB 2649 by Flynn-(H)Pensions, Investments &amp; Financial Services (Substitute Document Number: 86R 28764)</dc:description>
  <cp:lastModifiedBy>Scotty Wimberley</cp:lastModifiedBy>
  <cp:revision>2</cp:revision>
  <cp:lastPrinted>2003-11-26T17:21:00Z</cp:lastPrinted>
  <dcterms:created xsi:type="dcterms:W3CDTF">2019-05-03T20:58:00Z</dcterms:created>
  <dcterms:modified xsi:type="dcterms:W3CDTF">2019-05-03T20:58:00Z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19.122.1040</vt:lpwstr>
  </property>
</Properties>
</file>