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1EEE" w:rsidTr="00345119">
        <w:tc>
          <w:tcPr>
            <w:tcW w:w="9576" w:type="dxa"/>
            <w:noWrap/>
          </w:tcPr>
          <w:p w:rsidR="008423E4" w:rsidRPr="0022177D" w:rsidRDefault="00F56F4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56F45" w:rsidP="008423E4">
      <w:pPr>
        <w:jc w:val="center"/>
      </w:pPr>
    </w:p>
    <w:p w:rsidR="008423E4" w:rsidRPr="00B31F0E" w:rsidRDefault="00F56F45" w:rsidP="008423E4"/>
    <w:p w:rsidR="008423E4" w:rsidRPr="00742794" w:rsidRDefault="00F56F4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81EEE" w:rsidTr="00345119">
        <w:tc>
          <w:tcPr>
            <w:tcW w:w="9576" w:type="dxa"/>
          </w:tcPr>
          <w:p w:rsidR="008423E4" w:rsidRPr="00861995" w:rsidRDefault="00F56F45" w:rsidP="00345119">
            <w:pPr>
              <w:jc w:val="right"/>
            </w:pPr>
            <w:r>
              <w:t>C.S.H.B. 2677</w:t>
            </w:r>
          </w:p>
        </w:tc>
      </w:tr>
      <w:tr w:rsidR="00B81EEE" w:rsidTr="00345119">
        <w:tc>
          <w:tcPr>
            <w:tcW w:w="9576" w:type="dxa"/>
          </w:tcPr>
          <w:p w:rsidR="008423E4" w:rsidRPr="00861995" w:rsidRDefault="00F56F45" w:rsidP="00D5091F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B81EEE" w:rsidTr="00345119">
        <w:tc>
          <w:tcPr>
            <w:tcW w:w="9576" w:type="dxa"/>
          </w:tcPr>
          <w:p w:rsidR="008423E4" w:rsidRPr="00861995" w:rsidRDefault="00F56F45" w:rsidP="00345119">
            <w:pPr>
              <w:jc w:val="right"/>
            </w:pPr>
            <w:r>
              <w:t>State Affairs</w:t>
            </w:r>
          </w:p>
        </w:tc>
      </w:tr>
      <w:tr w:rsidR="00B81EEE" w:rsidTr="00345119">
        <w:tc>
          <w:tcPr>
            <w:tcW w:w="9576" w:type="dxa"/>
          </w:tcPr>
          <w:p w:rsidR="008423E4" w:rsidRDefault="00F56F4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56F45" w:rsidP="008423E4">
      <w:pPr>
        <w:tabs>
          <w:tab w:val="right" w:pos="9360"/>
        </w:tabs>
      </w:pPr>
    </w:p>
    <w:p w:rsidR="008423E4" w:rsidRPr="0019625F" w:rsidRDefault="00F56F45" w:rsidP="008423E4">
      <w:pPr>
        <w:rPr>
          <w:sz w:val="22"/>
        </w:rPr>
      </w:pPr>
    </w:p>
    <w:p w:rsidR="008423E4" w:rsidRPr="0019625F" w:rsidRDefault="00F56F45" w:rsidP="008423E4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81EEE" w:rsidTr="00345119">
        <w:tc>
          <w:tcPr>
            <w:tcW w:w="9576" w:type="dxa"/>
          </w:tcPr>
          <w:p w:rsidR="008423E4" w:rsidRPr="00A8133F" w:rsidRDefault="00F56F45" w:rsidP="0019625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19625F" w:rsidRDefault="00F56F45" w:rsidP="0019625F">
            <w:pPr>
              <w:rPr>
                <w:sz w:val="22"/>
              </w:rPr>
            </w:pPr>
          </w:p>
          <w:p w:rsidR="008423E4" w:rsidRDefault="00F56F45" w:rsidP="001962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about</w:t>
            </w:r>
            <w:r>
              <w:t xml:space="preserve"> </w:t>
            </w:r>
            <w:r>
              <w:t xml:space="preserve">the revolving door of candidates and officeholders becoming lobbyists immediately after losing an </w:t>
            </w:r>
            <w:r>
              <w:t>election or retiring from office</w:t>
            </w:r>
            <w:r w:rsidRPr="00773654">
              <w:t xml:space="preserve">. </w:t>
            </w:r>
            <w:r>
              <w:t>C.S.</w:t>
            </w:r>
            <w:r>
              <w:t>H.B. 2677</w:t>
            </w:r>
            <w:r w:rsidRPr="00773654">
              <w:t xml:space="preserve"> seeks to</w:t>
            </w:r>
            <w:r>
              <w:t xml:space="preserve"> address this issue by</w:t>
            </w:r>
            <w:r>
              <w:t>, among other provisions,</w:t>
            </w:r>
            <w:r w:rsidRPr="00773654">
              <w:t xml:space="preserve"> </w:t>
            </w:r>
            <w:r>
              <w:t>prohibit</w:t>
            </w:r>
            <w:r>
              <w:t>ing</w:t>
            </w:r>
            <w:r>
              <w:t xml:space="preserve"> a person </w:t>
            </w:r>
            <w:r>
              <w:t xml:space="preserve">who </w:t>
            </w:r>
            <w:r>
              <w:t>mak</w:t>
            </w:r>
            <w:r>
              <w:t>es</w:t>
            </w:r>
            <w:r>
              <w:t xml:space="preserve"> or authoriz</w:t>
            </w:r>
            <w:r>
              <w:t>es</w:t>
            </w:r>
            <w:r>
              <w:t xml:space="preserve"> certain political contributions an</w:t>
            </w:r>
            <w:r>
              <w:t>d</w:t>
            </w:r>
            <w:r>
              <w:t xml:space="preserve"> direct campaign expenditures from lobbying</w:t>
            </w:r>
            <w:r>
              <w:t xml:space="preserve"> during the two</w:t>
            </w:r>
            <w:r>
              <w:noBreakHyphen/>
            </w:r>
            <w:r>
              <w:t>year period a</w:t>
            </w:r>
            <w:r>
              <w:t>fter the date the person makes or authorizes the contribution or expenditure</w:t>
            </w:r>
            <w:r w:rsidRPr="00773654">
              <w:t>.</w:t>
            </w:r>
          </w:p>
          <w:p w:rsidR="008423E4" w:rsidRPr="0019625F" w:rsidRDefault="00F56F45" w:rsidP="0019625F">
            <w:pPr>
              <w:rPr>
                <w:b/>
                <w:sz w:val="22"/>
              </w:rPr>
            </w:pPr>
          </w:p>
        </w:tc>
      </w:tr>
      <w:tr w:rsidR="00B81EEE" w:rsidTr="00345119">
        <w:tc>
          <w:tcPr>
            <w:tcW w:w="9576" w:type="dxa"/>
          </w:tcPr>
          <w:p w:rsidR="0017725B" w:rsidRDefault="00F56F45" w:rsidP="001962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19625F" w:rsidRDefault="00F56F45" w:rsidP="0019625F">
            <w:pPr>
              <w:rPr>
                <w:b/>
                <w:sz w:val="22"/>
                <w:u w:val="single"/>
              </w:rPr>
            </w:pPr>
          </w:p>
          <w:p w:rsidR="00B468EF" w:rsidRPr="00B468EF" w:rsidRDefault="00F56F45" w:rsidP="0019625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9625F" w:rsidRDefault="00F56F45" w:rsidP="0019625F">
            <w:pPr>
              <w:rPr>
                <w:b/>
                <w:sz w:val="22"/>
                <w:u w:val="single"/>
              </w:rPr>
            </w:pPr>
          </w:p>
        </w:tc>
      </w:tr>
      <w:tr w:rsidR="00B81EEE" w:rsidTr="00345119">
        <w:tc>
          <w:tcPr>
            <w:tcW w:w="9576" w:type="dxa"/>
          </w:tcPr>
          <w:p w:rsidR="008423E4" w:rsidRPr="00A8133F" w:rsidRDefault="00F56F45" w:rsidP="0019625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19625F" w:rsidRDefault="00F56F45" w:rsidP="0019625F">
            <w:pPr>
              <w:rPr>
                <w:sz w:val="22"/>
              </w:rPr>
            </w:pPr>
          </w:p>
          <w:p w:rsidR="00B468EF" w:rsidRDefault="00F56F45" w:rsidP="001962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19625F" w:rsidRDefault="00F56F45" w:rsidP="0019625F">
            <w:pPr>
              <w:rPr>
                <w:b/>
                <w:sz w:val="22"/>
              </w:rPr>
            </w:pPr>
          </w:p>
        </w:tc>
      </w:tr>
      <w:tr w:rsidR="00B81EEE" w:rsidTr="00345119">
        <w:tc>
          <w:tcPr>
            <w:tcW w:w="9576" w:type="dxa"/>
          </w:tcPr>
          <w:p w:rsidR="008423E4" w:rsidRDefault="00F56F45" w:rsidP="0019625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19625F" w:rsidRPr="0019625F" w:rsidRDefault="00F56F45" w:rsidP="0019625F">
            <w:pPr>
              <w:rPr>
                <w:b/>
                <w:sz w:val="22"/>
              </w:rPr>
            </w:pPr>
          </w:p>
          <w:p w:rsidR="00B61611" w:rsidRDefault="00F56F45" w:rsidP="0019625F">
            <w:pPr>
              <w:pStyle w:val="Header"/>
              <w:jc w:val="both"/>
            </w:pPr>
            <w:r>
              <w:t xml:space="preserve">C.S.H.B. 2677 amends the Election Code to prohibit a person required to register </w:t>
            </w:r>
            <w:r>
              <w:t xml:space="preserve">under </w:t>
            </w:r>
            <w:r>
              <w:t>statutory</w:t>
            </w:r>
            <w:r>
              <w:t xml:space="preserve"> provisions governing</w:t>
            </w:r>
            <w:r>
              <w:t xml:space="preserve"> lobbyist </w:t>
            </w:r>
            <w:r>
              <w:t xml:space="preserve">registration </w:t>
            </w:r>
            <w:r>
              <w:t>from knowingly making or authorizing</w:t>
            </w:r>
            <w:r>
              <w:t xml:space="preserve"> a political contribution or political expenditure from political contributions accepted by:</w:t>
            </w:r>
          </w:p>
          <w:p w:rsidR="00B61611" w:rsidRDefault="00F56F45" w:rsidP="0019625F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the person as a candidate or officeholder;</w:t>
            </w:r>
          </w:p>
          <w:p w:rsidR="00B61611" w:rsidRDefault="00F56F45" w:rsidP="0019625F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a specific-purpose committee for the purpose of supporting the person as a candidate or assisting the person as an offic</w:t>
            </w:r>
            <w:r>
              <w:t>eholder; or</w:t>
            </w:r>
          </w:p>
          <w:p w:rsidR="00B61611" w:rsidRDefault="00F56F45" w:rsidP="0019625F">
            <w:pPr>
              <w:pStyle w:val="Header"/>
              <w:numPr>
                <w:ilvl w:val="0"/>
                <w:numId w:val="4"/>
              </w:numPr>
              <w:jc w:val="both"/>
            </w:pPr>
            <w:r>
              <w:t>a political committee that accepted</w:t>
            </w:r>
            <w:r>
              <w:t xml:space="preserve"> a political contribution from either </w:t>
            </w:r>
            <w:r>
              <w:t>such</w:t>
            </w:r>
            <w:r>
              <w:t xml:space="preserve"> source</w:t>
            </w:r>
            <w:r>
              <w:t xml:space="preserve"> during the two-year period immediately before the date the political contribution or expenditure was made.</w:t>
            </w:r>
          </w:p>
          <w:p w:rsidR="00A863F8" w:rsidRPr="0019625F" w:rsidRDefault="00F56F45" w:rsidP="0019625F">
            <w:pPr>
              <w:pStyle w:val="Header"/>
              <w:jc w:val="both"/>
              <w:rPr>
                <w:sz w:val="22"/>
              </w:rPr>
            </w:pPr>
          </w:p>
          <w:p w:rsidR="00A863F8" w:rsidRDefault="00F56F45" w:rsidP="0019625F">
            <w:pPr>
              <w:pStyle w:val="Header"/>
              <w:jc w:val="both"/>
            </w:pPr>
            <w:r>
              <w:t>C.S.H.B.</w:t>
            </w:r>
            <w:r>
              <w:t xml:space="preserve"> 2677</w:t>
            </w:r>
            <w:r>
              <w:t xml:space="preserve"> prohibits a person who knowingly make</w:t>
            </w:r>
            <w:r>
              <w:t xml:space="preserve">s or authorizes a political contribution or direct campaign expenditure from political contributions accepted by the person as a candidate or officeholder from engaging in any activities that require the person to </w:t>
            </w:r>
            <w:r w:rsidRPr="00B47C76">
              <w:t xml:space="preserve">register </w:t>
            </w:r>
            <w:r w:rsidRPr="00A341F3">
              <w:t xml:space="preserve">under </w:t>
            </w:r>
            <w:r>
              <w:t>statutory</w:t>
            </w:r>
            <w:r w:rsidRPr="00A341F3">
              <w:t xml:space="preserve"> provisions</w:t>
            </w:r>
            <w:r>
              <w:t xml:space="preserve"> govern</w:t>
            </w:r>
            <w:r>
              <w:t>ing lobbyist registration</w:t>
            </w:r>
            <w:r>
              <w:t xml:space="preserve"> during the two-year period after the date the person makes or authorizes the contribution or expenditure. The bill excepts from </w:t>
            </w:r>
            <w:r>
              <w:t>that</w:t>
            </w:r>
            <w:r>
              <w:t xml:space="preserve"> prohibition a person who:</w:t>
            </w:r>
          </w:p>
          <w:p w:rsidR="00A863F8" w:rsidRDefault="00F56F45" w:rsidP="0019625F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communicates directly with a member of the legislative or executive </w:t>
            </w:r>
            <w:r>
              <w:t>branch only to influence legislation or administrative action on behalf of:</w:t>
            </w:r>
          </w:p>
          <w:p w:rsidR="00A863F8" w:rsidRDefault="00F56F45" w:rsidP="0019625F">
            <w:pPr>
              <w:pStyle w:val="Header"/>
              <w:numPr>
                <w:ilvl w:val="1"/>
                <w:numId w:val="6"/>
              </w:numPr>
              <w:spacing w:before="120" w:after="120"/>
              <w:jc w:val="both"/>
            </w:pPr>
            <w:r>
              <w:t xml:space="preserve">a nonprofit organization </w:t>
            </w:r>
            <w:r>
              <w:t xml:space="preserve">described by Section 501(c)(3) of the federal Internal Revenue Code of 1986 and </w:t>
            </w:r>
            <w:r>
              <w:t>exempt from federal income taxation under</w:t>
            </w:r>
            <w:r>
              <w:t>Section 501(a) of that code</w:t>
            </w:r>
            <w:r>
              <w:t>;</w:t>
            </w:r>
          </w:p>
          <w:p w:rsidR="00A863F8" w:rsidRDefault="00F56F45" w:rsidP="0019625F">
            <w:pPr>
              <w:pStyle w:val="Header"/>
              <w:numPr>
                <w:ilvl w:val="1"/>
                <w:numId w:val="6"/>
              </w:numPr>
              <w:spacing w:before="120" w:after="120"/>
              <w:jc w:val="both"/>
            </w:pPr>
            <w:r>
              <w:t xml:space="preserve">a </w:t>
            </w:r>
            <w:r>
              <w:t>group of low-income individuals; or</w:t>
            </w:r>
          </w:p>
          <w:p w:rsidR="00A863F8" w:rsidRDefault="00F56F45" w:rsidP="0019625F">
            <w:pPr>
              <w:pStyle w:val="Header"/>
              <w:numPr>
                <w:ilvl w:val="1"/>
                <w:numId w:val="6"/>
              </w:numPr>
              <w:spacing w:before="120" w:after="120"/>
              <w:jc w:val="both"/>
            </w:pPr>
            <w:r>
              <w:t>a group of individuals with disabilities; and</w:t>
            </w:r>
          </w:p>
          <w:p w:rsidR="00C27DB7" w:rsidRDefault="00F56F45" w:rsidP="0019625F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does not receive compensation other than reimbursement for actual expenses for engaging in </w:t>
            </w:r>
            <w:r>
              <w:t xml:space="preserve">such </w:t>
            </w:r>
            <w:r>
              <w:t>communication.</w:t>
            </w:r>
          </w:p>
          <w:p w:rsidR="00B61611" w:rsidRDefault="00F56F45" w:rsidP="0019625F">
            <w:pPr>
              <w:pStyle w:val="Header"/>
              <w:jc w:val="both"/>
            </w:pPr>
          </w:p>
          <w:p w:rsidR="003236C1" w:rsidRDefault="00F56F45" w:rsidP="0019625F">
            <w:pPr>
              <w:pStyle w:val="Header"/>
              <w:jc w:val="both"/>
            </w:pPr>
            <w:r w:rsidRPr="00B61611">
              <w:t>C.S.</w:t>
            </w:r>
            <w:r>
              <w:t xml:space="preserve">H.B. 2677 amends the </w:t>
            </w:r>
            <w:r>
              <w:t xml:space="preserve">Government Code to </w:t>
            </w:r>
            <w:r>
              <w:t>remove</w:t>
            </w:r>
            <w:r>
              <w:t xml:space="preserve"> the </w:t>
            </w:r>
            <w:r>
              <w:t>prohibi</w:t>
            </w:r>
            <w:r>
              <w:t>ti</w:t>
            </w:r>
            <w:r>
              <w:t>o</w:t>
            </w:r>
            <w:r>
              <w:t xml:space="preserve">n </w:t>
            </w:r>
            <w:r>
              <w:t xml:space="preserve">against </w:t>
            </w:r>
            <w:r>
              <w:t xml:space="preserve">a person required to register </w:t>
            </w:r>
            <w:r w:rsidRPr="00A341F3">
              <w:t xml:space="preserve">under statutory provisions </w:t>
            </w:r>
            <w:r w:rsidRPr="00A341F3">
              <w:t>governing</w:t>
            </w:r>
            <w:r w:rsidRPr="00A341F3">
              <w:t xml:space="preserve"> lobbyist</w:t>
            </w:r>
            <w:r w:rsidRPr="00A341F3">
              <w:t xml:space="preserve"> registration</w:t>
            </w:r>
            <w:r>
              <w:t xml:space="preserve"> from</w:t>
            </w:r>
            <w:r w:rsidRPr="0098106C">
              <w:t xml:space="preserve">, at any time following the date the last term for which the person </w:t>
            </w:r>
            <w:r>
              <w:t>was elected ends, knowingly making</w:t>
            </w:r>
            <w:r w:rsidRPr="0098106C">
              <w:t xml:space="preserve"> or authoriz</w:t>
            </w:r>
            <w:r>
              <w:t>ing</w:t>
            </w:r>
            <w:r w:rsidRPr="0098106C">
              <w:t>, from political contributions ac</w:t>
            </w:r>
            <w:r w:rsidRPr="0098106C">
              <w:t>cepted by the person as a candidate or officeholder, a political expenditure that is a political contribution to another candidate, officeholder, or political committee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replaces that </w:t>
            </w:r>
            <w:r>
              <w:t xml:space="preserve">prohibition </w:t>
            </w:r>
            <w:r>
              <w:t xml:space="preserve">with </w:t>
            </w:r>
            <w:r>
              <w:t xml:space="preserve">a prohibition against </w:t>
            </w:r>
            <w:r>
              <w:t xml:space="preserve">a </w:t>
            </w:r>
            <w:r>
              <w:t>registrant</w:t>
            </w:r>
            <w:r w:rsidRPr="00391D66">
              <w:t>, or a perso</w:t>
            </w:r>
            <w:r w:rsidRPr="00391D66">
              <w:t xml:space="preserve">n on the registrant's behalf and with the registrant's consent or ratification, </w:t>
            </w:r>
            <w:r>
              <w:t xml:space="preserve">knowingly </w:t>
            </w:r>
            <w:r w:rsidRPr="00391D66">
              <w:t>mak</w:t>
            </w:r>
            <w:r>
              <w:t>ing</w:t>
            </w:r>
            <w:r w:rsidRPr="00391D66">
              <w:t xml:space="preserve"> or authoriz</w:t>
            </w:r>
            <w:r>
              <w:t>ing</w:t>
            </w:r>
            <w:r w:rsidRPr="00391D66">
              <w:t xml:space="preserve"> an expenditure required to be reported </w:t>
            </w:r>
            <w:r w:rsidRPr="00A341F3">
              <w:t xml:space="preserve">under statutory provisions </w:t>
            </w:r>
            <w:r>
              <w:t>governing</w:t>
            </w:r>
            <w:r w:rsidRPr="00A341F3">
              <w:t xml:space="preserve"> </w:t>
            </w:r>
            <w:r w:rsidRPr="00A341F3">
              <w:t xml:space="preserve">lobbyist </w:t>
            </w:r>
            <w:r w:rsidRPr="00A341F3">
              <w:t>registration</w:t>
            </w:r>
            <w:r>
              <w:t xml:space="preserve"> from</w:t>
            </w:r>
            <w:r>
              <w:t xml:space="preserve"> a political contribution that was accepted by</w:t>
            </w:r>
            <w:r>
              <w:t>:</w:t>
            </w:r>
          </w:p>
          <w:p w:rsidR="003236C1" w:rsidRDefault="00F56F45" w:rsidP="0019625F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the registrant as a candidate or officeholder; </w:t>
            </w:r>
          </w:p>
          <w:p w:rsidR="003236C1" w:rsidRDefault="00F56F45" w:rsidP="0019625F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a specific-purpose committee </w:t>
            </w:r>
            <w:r>
              <w:t>for</w:t>
            </w:r>
            <w:r>
              <w:t xml:space="preserve"> the</w:t>
            </w:r>
            <w:r>
              <w:t xml:space="preserve"> purpose of </w:t>
            </w:r>
            <w:r>
              <w:t xml:space="preserve">supporting the registrant as a candidate or assisting the registrant as an officeholder; </w:t>
            </w:r>
            <w:r>
              <w:t>or</w:t>
            </w:r>
            <w:r>
              <w:t xml:space="preserve"> </w:t>
            </w:r>
          </w:p>
          <w:p w:rsidR="00C27DB7" w:rsidRDefault="00F56F45" w:rsidP="0019625F">
            <w:pPr>
              <w:pStyle w:val="Header"/>
              <w:numPr>
                <w:ilvl w:val="0"/>
                <w:numId w:val="3"/>
              </w:numPr>
              <w:ind w:left="778"/>
              <w:jc w:val="both"/>
            </w:pPr>
            <w:r>
              <w:t>a political committ</w:t>
            </w:r>
            <w:r>
              <w:t>ee</w:t>
            </w:r>
            <w:r>
              <w:t xml:space="preserve"> that</w:t>
            </w:r>
            <w:r>
              <w:t xml:space="preserve"> accepted </w:t>
            </w:r>
            <w:r>
              <w:t xml:space="preserve">either of </w:t>
            </w:r>
            <w:r>
              <w:t xml:space="preserve">the other applicable forms of </w:t>
            </w:r>
            <w:r>
              <w:t>contribution in the two</w:t>
            </w:r>
            <w:r>
              <w:t>-</w:t>
            </w:r>
            <w:r>
              <w:t>year</w:t>
            </w:r>
            <w:r>
              <w:t xml:space="preserve"> period </w:t>
            </w:r>
            <w:r w:rsidRPr="00E03C64">
              <w:t>immediately before the date the expenditure was made or authorized by the registrant</w:t>
            </w:r>
            <w:r>
              <w:t>.</w:t>
            </w:r>
            <w:r>
              <w:t xml:space="preserve"> </w:t>
            </w:r>
          </w:p>
          <w:p w:rsidR="00F520FD" w:rsidRDefault="00F56F45" w:rsidP="0019625F">
            <w:pPr>
              <w:pStyle w:val="Header"/>
              <w:jc w:val="both"/>
            </w:pPr>
          </w:p>
          <w:p w:rsidR="00F520FD" w:rsidRDefault="00F56F45" w:rsidP="0019625F">
            <w:pPr>
              <w:pStyle w:val="Header"/>
              <w:jc w:val="both"/>
            </w:pPr>
            <w:r>
              <w:t>C.S.H.B. 2677 a</w:t>
            </w:r>
            <w:r>
              <w:t>pplies</w:t>
            </w:r>
            <w:r>
              <w:t xml:space="preserve"> to a political contribution, political </w:t>
            </w:r>
            <w:r w:rsidRPr="00C27DB7">
              <w:t>expenditure, d</w:t>
            </w:r>
            <w:r w:rsidRPr="00C27DB7">
              <w:t>irect campaign expenditure, or lobbying expenditure made on or after September 27, 2019, from funds accepted as a political contribution, regardless of the date the funds were accepted</w:t>
            </w:r>
            <w:r>
              <w:t>.</w:t>
            </w:r>
          </w:p>
          <w:p w:rsidR="0027438C" w:rsidRPr="00835628" w:rsidRDefault="00F56F45" w:rsidP="0019625F">
            <w:pPr>
              <w:pStyle w:val="Header"/>
              <w:jc w:val="both"/>
            </w:pPr>
          </w:p>
        </w:tc>
      </w:tr>
      <w:tr w:rsidR="00B81EEE" w:rsidTr="00345119">
        <w:tc>
          <w:tcPr>
            <w:tcW w:w="9576" w:type="dxa"/>
          </w:tcPr>
          <w:p w:rsidR="008423E4" w:rsidRPr="00A8133F" w:rsidRDefault="00F56F45" w:rsidP="0019625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56F45" w:rsidP="0019625F"/>
          <w:p w:rsidR="008423E4" w:rsidRPr="003624F2" w:rsidRDefault="00F56F45" w:rsidP="001962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27, 2019.</w:t>
            </w:r>
          </w:p>
          <w:p w:rsidR="008423E4" w:rsidRPr="00233FDB" w:rsidRDefault="00F56F45" w:rsidP="0019625F">
            <w:pPr>
              <w:rPr>
                <w:b/>
              </w:rPr>
            </w:pPr>
          </w:p>
        </w:tc>
      </w:tr>
      <w:tr w:rsidR="00B81EEE" w:rsidTr="00345119">
        <w:tc>
          <w:tcPr>
            <w:tcW w:w="9576" w:type="dxa"/>
          </w:tcPr>
          <w:p w:rsidR="00D5091F" w:rsidRDefault="00F56F45" w:rsidP="00D5091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B61611" w:rsidRDefault="00F56F45" w:rsidP="00D5091F">
            <w:pPr>
              <w:jc w:val="both"/>
              <w:rPr>
                <w:b/>
                <w:u w:val="single"/>
              </w:rPr>
            </w:pPr>
          </w:p>
          <w:p w:rsidR="00AF0C84" w:rsidRDefault="00F56F45" w:rsidP="00AF0C84">
            <w:pPr>
              <w:jc w:val="both"/>
            </w:pPr>
            <w:r>
              <w:t>While C.S.H.B. 2677 may differ from the original in minor or nonsubstantive ways, the following summarizes the substantial differences between the introduced and committee substitute versions of the bill.</w:t>
            </w:r>
          </w:p>
          <w:p w:rsidR="00AF0C84" w:rsidRDefault="00F56F45" w:rsidP="00AF0C84">
            <w:pPr>
              <w:jc w:val="both"/>
            </w:pPr>
          </w:p>
          <w:p w:rsidR="00AF0C84" w:rsidRDefault="00F56F45" w:rsidP="00AF0C84">
            <w:pPr>
              <w:jc w:val="both"/>
            </w:pPr>
            <w:r>
              <w:t xml:space="preserve">The substitute includes a provision </w:t>
            </w:r>
            <w:r>
              <w:t>prohibiting a registrant</w:t>
            </w:r>
            <w:r w:rsidRPr="00F520FD">
              <w:t xml:space="preserve"> </w:t>
            </w:r>
            <w:r w:rsidRPr="00A863F8">
              <w:t xml:space="preserve">from knowingly making or authorizing a political contribution or political expenditure from </w:t>
            </w:r>
            <w:r>
              <w:t xml:space="preserve">certain </w:t>
            </w:r>
            <w:r w:rsidRPr="00A863F8">
              <w:t>poli</w:t>
            </w:r>
            <w:r>
              <w:t>tical contributions.</w:t>
            </w:r>
          </w:p>
          <w:p w:rsidR="00AF0C84" w:rsidRDefault="00F56F45" w:rsidP="00AF0C84">
            <w:pPr>
              <w:jc w:val="both"/>
            </w:pPr>
          </w:p>
          <w:p w:rsidR="00AF0C84" w:rsidRDefault="00F56F45" w:rsidP="00AF0C84">
            <w:pPr>
              <w:jc w:val="both"/>
            </w:pPr>
            <w:r>
              <w:t>The substitute includes provisions prohibiting a person who knowingly makes or authorizes a political con</w:t>
            </w:r>
            <w:r>
              <w:t>tribution or direct campaign expenditure from political contributions accepted by the person as a candidate or officeholder from engaging in certain lobbying activity during the two-year period after the date the person makes or authorizes the contribution</w:t>
            </w:r>
            <w:r>
              <w:t xml:space="preserve"> or expenditure. </w:t>
            </w:r>
          </w:p>
          <w:p w:rsidR="00AF0C84" w:rsidRDefault="00F56F45" w:rsidP="00AF0C84">
            <w:pPr>
              <w:jc w:val="both"/>
            </w:pPr>
          </w:p>
          <w:p w:rsidR="00AF0C84" w:rsidRDefault="00F56F45" w:rsidP="00AF0C84">
            <w:pPr>
              <w:jc w:val="both"/>
            </w:pPr>
            <w:r>
              <w:t xml:space="preserve">The substitute revises the prohibition against a registrant, or a person on the registrant's behalf and with the registrant's consent or ratification, making or </w:t>
            </w:r>
            <w:r w:rsidRPr="00F520FD">
              <w:t>authorizing certain expenditures from political contribution</w:t>
            </w:r>
            <w:r>
              <w:t>s</w:t>
            </w:r>
            <w:r w:rsidRPr="00F520FD">
              <w:t xml:space="preserve"> </w:t>
            </w:r>
            <w:r w:rsidRPr="00A341F3">
              <w:t xml:space="preserve">accepted by </w:t>
            </w:r>
            <w:r>
              <w:t>ce</w:t>
            </w:r>
            <w:r>
              <w:t>rtain</w:t>
            </w:r>
            <w:r w:rsidRPr="00B47C76">
              <w:t xml:space="preserve"> sources</w:t>
            </w:r>
            <w:r>
              <w:t xml:space="preserve"> to provide that the prohibition applies with respect to an expenditure that was made or authorized knowingly.</w:t>
            </w:r>
          </w:p>
          <w:p w:rsidR="00AF0C84" w:rsidRDefault="00F56F45" w:rsidP="00AF0C84">
            <w:pPr>
              <w:jc w:val="both"/>
            </w:pPr>
          </w:p>
          <w:p w:rsidR="00AF0C84" w:rsidRDefault="00F56F45" w:rsidP="00AF0C84">
            <w:pPr>
              <w:jc w:val="both"/>
            </w:pPr>
            <w:r>
              <w:t xml:space="preserve">The substitute does not include provisions relating to </w:t>
            </w:r>
            <w:r w:rsidRPr="00703541">
              <w:t>the personal use of political contributions by a candidate, officeholder, or</w:t>
            </w:r>
            <w:r w:rsidRPr="00703541">
              <w:t xml:space="preserve"> former candidate or officeholder</w:t>
            </w:r>
            <w:r>
              <w:t>.</w:t>
            </w:r>
          </w:p>
          <w:p w:rsidR="00AF0C84" w:rsidRDefault="00F56F45" w:rsidP="00AF0C84">
            <w:pPr>
              <w:jc w:val="both"/>
            </w:pPr>
            <w:r>
              <w:t xml:space="preserve"> </w:t>
            </w:r>
          </w:p>
          <w:p w:rsidR="00AF0C84" w:rsidRDefault="00F56F45" w:rsidP="00AF0C84">
            <w:pPr>
              <w:jc w:val="both"/>
            </w:pPr>
            <w:r>
              <w:t>The substitute changes the bill's effective date and includes a provision relating to the bill's applicability.</w:t>
            </w:r>
          </w:p>
          <w:p w:rsidR="00AF0C84" w:rsidRPr="00D5091F" w:rsidRDefault="00F56F45" w:rsidP="00AF0C84">
            <w:pPr>
              <w:jc w:val="both"/>
              <w:rPr>
                <w:b/>
                <w:u w:val="single"/>
              </w:rPr>
            </w:pPr>
          </w:p>
        </w:tc>
      </w:tr>
    </w:tbl>
    <w:p w:rsidR="004108C3" w:rsidRPr="008423E4" w:rsidRDefault="00F56F4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6F45">
      <w:r>
        <w:separator/>
      </w:r>
    </w:p>
  </w:endnote>
  <w:endnote w:type="continuationSeparator" w:id="0">
    <w:p w:rsidR="00000000" w:rsidRDefault="00F5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6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81EEE" w:rsidTr="009C1E9A">
      <w:trPr>
        <w:cantSplit/>
      </w:trPr>
      <w:tc>
        <w:tcPr>
          <w:tcW w:w="0" w:type="pct"/>
        </w:tcPr>
        <w:p w:rsidR="00137D90" w:rsidRDefault="00F56F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56F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56F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56F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56F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1EEE" w:rsidTr="009C1E9A">
      <w:trPr>
        <w:cantSplit/>
      </w:trPr>
      <w:tc>
        <w:tcPr>
          <w:tcW w:w="0" w:type="pct"/>
        </w:tcPr>
        <w:p w:rsidR="00EC379B" w:rsidRDefault="00F56F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56F4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29551</w:t>
          </w:r>
        </w:p>
      </w:tc>
      <w:tc>
        <w:tcPr>
          <w:tcW w:w="2453" w:type="pct"/>
        </w:tcPr>
        <w:p w:rsidR="00EC379B" w:rsidRDefault="00F56F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19.115.113</w:t>
          </w:r>
          <w:r>
            <w:fldChar w:fldCharType="end"/>
          </w:r>
        </w:p>
      </w:tc>
    </w:tr>
    <w:tr w:rsidR="00B81EEE" w:rsidTr="009C1E9A">
      <w:trPr>
        <w:cantSplit/>
      </w:trPr>
      <w:tc>
        <w:tcPr>
          <w:tcW w:w="0" w:type="pct"/>
        </w:tcPr>
        <w:p w:rsidR="00EC379B" w:rsidRDefault="00F56F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56F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27876</w:t>
          </w:r>
        </w:p>
      </w:tc>
      <w:tc>
        <w:tcPr>
          <w:tcW w:w="2453" w:type="pct"/>
        </w:tcPr>
        <w:p w:rsidR="00EC379B" w:rsidRDefault="00F56F45" w:rsidP="006D504F">
          <w:pPr>
            <w:pStyle w:val="Footer"/>
            <w:rPr>
              <w:rStyle w:val="PageNumber"/>
            </w:rPr>
          </w:pPr>
        </w:p>
        <w:p w:rsidR="00EC379B" w:rsidRDefault="00F56F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1EE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56F4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56F4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56F4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6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6F45">
      <w:r>
        <w:separator/>
      </w:r>
    </w:p>
  </w:footnote>
  <w:footnote w:type="continuationSeparator" w:id="0">
    <w:p w:rsidR="00000000" w:rsidRDefault="00F56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6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6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6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DF6"/>
    <w:multiLevelType w:val="hybridMultilevel"/>
    <w:tmpl w:val="12C6AF08"/>
    <w:lvl w:ilvl="0" w:tplc="7D9E8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246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FA0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2B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EF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5A8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C5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A5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62D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4700"/>
    <w:multiLevelType w:val="hybridMultilevel"/>
    <w:tmpl w:val="F8E408FC"/>
    <w:lvl w:ilvl="0" w:tplc="B5EA5F0A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82883574" w:tentative="1">
      <w:start w:val="1"/>
      <w:numFmt w:val="lowerLetter"/>
      <w:lvlText w:val="%2."/>
      <w:lvlJc w:val="left"/>
      <w:pPr>
        <w:ind w:left="1440" w:hanging="360"/>
      </w:pPr>
    </w:lvl>
    <w:lvl w:ilvl="2" w:tplc="11D6BC50" w:tentative="1">
      <w:start w:val="1"/>
      <w:numFmt w:val="lowerRoman"/>
      <w:lvlText w:val="%3."/>
      <w:lvlJc w:val="right"/>
      <w:pPr>
        <w:ind w:left="2160" w:hanging="180"/>
      </w:pPr>
    </w:lvl>
    <w:lvl w:ilvl="3" w:tplc="BA3C0952" w:tentative="1">
      <w:start w:val="1"/>
      <w:numFmt w:val="decimal"/>
      <w:lvlText w:val="%4."/>
      <w:lvlJc w:val="left"/>
      <w:pPr>
        <w:ind w:left="2880" w:hanging="360"/>
      </w:pPr>
    </w:lvl>
    <w:lvl w:ilvl="4" w:tplc="E8FC9E92" w:tentative="1">
      <w:start w:val="1"/>
      <w:numFmt w:val="lowerLetter"/>
      <w:lvlText w:val="%5."/>
      <w:lvlJc w:val="left"/>
      <w:pPr>
        <w:ind w:left="3600" w:hanging="360"/>
      </w:pPr>
    </w:lvl>
    <w:lvl w:ilvl="5" w:tplc="BA7216BA" w:tentative="1">
      <w:start w:val="1"/>
      <w:numFmt w:val="lowerRoman"/>
      <w:lvlText w:val="%6."/>
      <w:lvlJc w:val="right"/>
      <w:pPr>
        <w:ind w:left="4320" w:hanging="180"/>
      </w:pPr>
    </w:lvl>
    <w:lvl w:ilvl="6" w:tplc="3578C078" w:tentative="1">
      <w:start w:val="1"/>
      <w:numFmt w:val="decimal"/>
      <w:lvlText w:val="%7."/>
      <w:lvlJc w:val="left"/>
      <w:pPr>
        <w:ind w:left="5040" w:hanging="360"/>
      </w:pPr>
    </w:lvl>
    <w:lvl w:ilvl="7" w:tplc="3B26A79C" w:tentative="1">
      <w:start w:val="1"/>
      <w:numFmt w:val="lowerLetter"/>
      <w:lvlText w:val="%8."/>
      <w:lvlJc w:val="left"/>
      <w:pPr>
        <w:ind w:left="5760" w:hanging="360"/>
      </w:pPr>
    </w:lvl>
    <w:lvl w:ilvl="8" w:tplc="B406FD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20BA"/>
    <w:multiLevelType w:val="hybridMultilevel"/>
    <w:tmpl w:val="7AFA5CC4"/>
    <w:lvl w:ilvl="0" w:tplc="D97C1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633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F06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C1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02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8C0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AC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EC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C07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9537E"/>
    <w:multiLevelType w:val="hybridMultilevel"/>
    <w:tmpl w:val="A1B05D00"/>
    <w:lvl w:ilvl="0" w:tplc="69B2636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364077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D1E422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E657B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292ACE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7FEA32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C0CFBA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FC6DB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6E2FCE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481509"/>
    <w:multiLevelType w:val="hybridMultilevel"/>
    <w:tmpl w:val="43DA8F6E"/>
    <w:lvl w:ilvl="0" w:tplc="14101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489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05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0C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EB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E68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2C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02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0D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E7550"/>
    <w:multiLevelType w:val="hybridMultilevel"/>
    <w:tmpl w:val="BE7C5524"/>
    <w:lvl w:ilvl="0" w:tplc="652A6926">
      <w:start w:val="1"/>
      <w:numFmt w:val="decimal"/>
      <w:lvlText w:val="(%1)"/>
      <w:lvlJc w:val="left"/>
      <w:pPr>
        <w:ind w:left="880" w:hanging="520"/>
      </w:pPr>
      <w:rPr>
        <w:rFonts w:hint="default"/>
      </w:rPr>
    </w:lvl>
    <w:lvl w:ilvl="1" w:tplc="62C82AA2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03A8A42A" w:tentative="1">
      <w:start w:val="1"/>
      <w:numFmt w:val="lowerRoman"/>
      <w:lvlText w:val="%3."/>
      <w:lvlJc w:val="right"/>
      <w:pPr>
        <w:ind w:left="2160" w:hanging="180"/>
      </w:pPr>
    </w:lvl>
    <w:lvl w:ilvl="3" w:tplc="9320D656" w:tentative="1">
      <w:start w:val="1"/>
      <w:numFmt w:val="decimal"/>
      <w:lvlText w:val="%4."/>
      <w:lvlJc w:val="left"/>
      <w:pPr>
        <w:ind w:left="2880" w:hanging="360"/>
      </w:pPr>
    </w:lvl>
    <w:lvl w:ilvl="4" w:tplc="3A425626" w:tentative="1">
      <w:start w:val="1"/>
      <w:numFmt w:val="lowerLetter"/>
      <w:lvlText w:val="%5."/>
      <w:lvlJc w:val="left"/>
      <w:pPr>
        <w:ind w:left="3600" w:hanging="360"/>
      </w:pPr>
    </w:lvl>
    <w:lvl w:ilvl="5" w:tplc="6658CE78" w:tentative="1">
      <w:start w:val="1"/>
      <w:numFmt w:val="lowerRoman"/>
      <w:lvlText w:val="%6."/>
      <w:lvlJc w:val="right"/>
      <w:pPr>
        <w:ind w:left="4320" w:hanging="180"/>
      </w:pPr>
    </w:lvl>
    <w:lvl w:ilvl="6" w:tplc="89B6B02A" w:tentative="1">
      <w:start w:val="1"/>
      <w:numFmt w:val="decimal"/>
      <w:lvlText w:val="%7."/>
      <w:lvlJc w:val="left"/>
      <w:pPr>
        <w:ind w:left="5040" w:hanging="360"/>
      </w:pPr>
    </w:lvl>
    <w:lvl w:ilvl="7" w:tplc="BC628374" w:tentative="1">
      <w:start w:val="1"/>
      <w:numFmt w:val="lowerLetter"/>
      <w:lvlText w:val="%8."/>
      <w:lvlJc w:val="left"/>
      <w:pPr>
        <w:ind w:left="5760" w:hanging="360"/>
      </w:pPr>
    </w:lvl>
    <w:lvl w:ilvl="8" w:tplc="62523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D45B5"/>
    <w:multiLevelType w:val="hybridMultilevel"/>
    <w:tmpl w:val="FBF6AB74"/>
    <w:lvl w:ilvl="0" w:tplc="E444A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46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0F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29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AB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84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86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AF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2E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EE"/>
    <w:rsid w:val="00B81EEE"/>
    <w:rsid w:val="00F5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2974FB-AC15-4EB6-AE6C-68DA922C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68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6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68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6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6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4870</Characters>
  <Application>Microsoft Office Word</Application>
  <DocSecurity>4</DocSecurity>
  <Lines>107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HB02677 (Committee Report (Substituted))</vt:lpstr>
    </vt:vector>
  </TitlesOfParts>
  <Company>State of Texas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29551</dc:subject>
  <dc:creator>State of Texas</dc:creator>
  <dc:description>HB 2677 by Goldman-(H)State Affairs (Substitute Document Number: 86R 27876)</dc:description>
  <cp:lastModifiedBy>Scotty Wimberley</cp:lastModifiedBy>
  <cp:revision>2</cp:revision>
  <cp:lastPrinted>2003-11-26T17:21:00Z</cp:lastPrinted>
  <dcterms:created xsi:type="dcterms:W3CDTF">2019-04-25T19:37:00Z</dcterms:created>
  <dcterms:modified xsi:type="dcterms:W3CDTF">2019-04-25T19:37:00Z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19.115.113</vt:lpwstr>
  </property>
</Properties>
</file>