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10D6" w:rsidTr="00345119">
        <w:tc>
          <w:tcPr>
            <w:tcW w:w="9576" w:type="dxa"/>
            <w:noWrap/>
          </w:tcPr>
          <w:p w:rsidR="008423E4" w:rsidRPr="0022177D" w:rsidRDefault="006B4B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4B4E" w:rsidP="008423E4">
      <w:pPr>
        <w:jc w:val="center"/>
      </w:pPr>
    </w:p>
    <w:p w:rsidR="008423E4" w:rsidRPr="00B31F0E" w:rsidRDefault="006B4B4E" w:rsidP="008423E4"/>
    <w:p w:rsidR="008423E4" w:rsidRPr="00742794" w:rsidRDefault="006B4B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10D6" w:rsidTr="00345119">
        <w:tc>
          <w:tcPr>
            <w:tcW w:w="9576" w:type="dxa"/>
          </w:tcPr>
          <w:p w:rsidR="008423E4" w:rsidRPr="00861995" w:rsidRDefault="006B4B4E" w:rsidP="00345119">
            <w:pPr>
              <w:jc w:val="right"/>
            </w:pPr>
            <w:r>
              <w:t>C.S.H.B. 2686</w:t>
            </w:r>
          </w:p>
        </w:tc>
      </w:tr>
      <w:tr w:rsidR="001810D6" w:rsidTr="00345119">
        <w:tc>
          <w:tcPr>
            <w:tcW w:w="9576" w:type="dxa"/>
          </w:tcPr>
          <w:p w:rsidR="008423E4" w:rsidRPr="00861995" w:rsidRDefault="006B4B4E" w:rsidP="00533B35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1810D6" w:rsidTr="00345119">
        <w:tc>
          <w:tcPr>
            <w:tcW w:w="9576" w:type="dxa"/>
          </w:tcPr>
          <w:p w:rsidR="008423E4" w:rsidRPr="00861995" w:rsidRDefault="006B4B4E" w:rsidP="00345119">
            <w:pPr>
              <w:jc w:val="right"/>
            </w:pPr>
            <w:r>
              <w:t>Insurance</w:t>
            </w:r>
          </w:p>
        </w:tc>
      </w:tr>
      <w:tr w:rsidR="001810D6" w:rsidTr="00345119">
        <w:tc>
          <w:tcPr>
            <w:tcW w:w="9576" w:type="dxa"/>
          </w:tcPr>
          <w:p w:rsidR="008423E4" w:rsidRDefault="006B4B4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B4B4E" w:rsidP="008423E4">
      <w:pPr>
        <w:tabs>
          <w:tab w:val="right" w:pos="9360"/>
        </w:tabs>
      </w:pPr>
    </w:p>
    <w:p w:rsidR="008423E4" w:rsidRDefault="006B4B4E" w:rsidP="008423E4"/>
    <w:p w:rsidR="008423E4" w:rsidRDefault="006B4B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10D6" w:rsidTr="00345119">
        <w:tc>
          <w:tcPr>
            <w:tcW w:w="9576" w:type="dxa"/>
          </w:tcPr>
          <w:p w:rsidR="008423E4" w:rsidRPr="00A8133F" w:rsidRDefault="006B4B4E" w:rsidP="00C86F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4B4E" w:rsidP="00C86F10"/>
          <w:p w:rsidR="008423E4" w:rsidRDefault="006B4B4E" w:rsidP="00C86F10">
            <w:pPr>
              <w:pStyle w:val="Header"/>
              <w:jc w:val="both"/>
            </w:pPr>
            <w:r>
              <w:t xml:space="preserve">Concerns have been raised about the integrity of the process by which the </w:t>
            </w:r>
            <w:r>
              <w:t xml:space="preserve">Texas Windstorm Insurance Association (TWIA) </w:t>
            </w:r>
            <w:r>
              <w:t xml:space="preserve">accepts and denies claims by a </w:t>
            </w:r>
            <w:r>
              <w:t>policyholder</w:t>
            </w:r>
            <w:r>
              <w:t xml:space="preserve"> in an attempt to prevent</w:t>
            </w:r>
            <w:r>
              <w:t xml:space="preserve"> suit</w:t>
            </w:r>
            <w:r>
              <w:t xml:space="preserve">s </w:t>
            </w:r>
            <w:r>
              <w:t xml:space="preserve">challenging TWIA determinations with regard to the disposition of claims. </w:t>
            </w:r>
            <w:r>
              <w:t>C.S.H.B</w:t>
            </w:r>
            <w:r>
              <w:t>.</w:t>
            </w:r>
            <w:r>
              <w:t> </w:t>
            </w:r>
            <w:r>
              <w:t xml:space="preserve">2686 seeks to address </w:t>
            </w:r>
            <w:r>
              <w:t>these concerns</w:t>
            </w:r>
            <w:r>
              <w:t xml:space="preserve"> by </w:t>
            </w:r>
            <w:r>
              <w:t>authorizing a claimant whose</w:t>
            </w:r>
            <w:r>
              <w:t xml:space="preserve"> claim </w:t>
            </w:r>
            <w:r>
              <w:t xml:space="preserve">is </w:t>
            </w:r>
            <w:r>
              <w:t xml:space="preserve">wholly or partly </w:t>
            </w:r>
            <w:r>
              <w:t>den</w:t>
            </w:r>
            <w:r>
              <w:t xml:space="preserve">ied </w:t>
            </w:r>
            <w:r>
              <w:t xml:space="preserve">by TWIA </w:t>
            </w:r>
            <w:r>
              <w:t xml:space="preserve">to </w:t>
            </w:r>
            <w:r>
              <w:t xml:space="preserve">maintain </w:t>
            </w:r>
            <w:r>
              <w:t>an action</w:t>
            </w:r>
            <w:r>
              <w:t xml:space="preserve"> against TWIA</w:t>
            </w:r>
            <w:r>
              <w:t xml:space="preserve"> </w:t>
            </w:r>
            <w:r>
              <w:t>concerning</w:t>
            </w:r>
            <w:r>
              <w:t xml:space="preserve"> the denial of coverage</w:t>
            </w:r>
            <w:r>
              <w:t xml:space="preserve">. </w:t>
            </w:r>
          </w:p>
          <w:p w:rsidR="008423E4" w:rsidRPr="00E26B13" w:rsidRDefault="006B4B4E" w:rsidP="00C86F10">
            <w:pPr>
              <w:rPr>
                <w:b/>
              </w:rPr>
            </w:pPr>
          </w:p>
        </w:tc>
      </w:tr>
      <w:tr w:rsidR="001810D6" w:rsidTr="00345119">
        <w:tc>
          <w:tcPr>
            <w:tcW w:w="9576" w:type="dxa"/>
          </w:tcPr>
          <w:p w:rsidR="0017725B" w:rsidRDefault="006B4B4E" w:rsidP="00C86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4B4E" w:rsidP="00C86F10">
            <w:pPr>
              <w:rPr>
                <w:b/>
                <w:u w:val="single"/>
              </w:rPr>
            </w:pPr>
          </w:p>
          <w:p w:rsidR="002B5F8F" w:rsidRPr="002B5F8F" w:rsidRDefault="006B4B4E" w:rsidP="00C86F10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6B4B4E" w:rsidP="00C86F10">
            <w:pPr>
              <w:rPr>
                <w:b/>
                <w:u w:val="single"/>
              </w:rPr>
            </w:pPr>
          </w:p>
        </w:tc>
      </w:tr>
      <w:tr w:rsidR="001810D6" w:rsidTr="00345119">
        <w:tc>
          <w:tcPr>
            <w:tcW w:w="9576" w:type="dxa"/>
          </w:tcPr>
          <w:p w:rsidR="008423E4" w:rsidRPr="00A8133F" w:rsidRDefault="006B4B4E" w:rsidP="00C86F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4B4E" w:rsidP="00C86F10"/>
          <w:p w:rsidR="002B5F8F" w:rsidRDefault="006B4B4E" w:rsidP="00C86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6B4B4E" w:rsidP="00C86F10">
            <w:pPr>
              <w:rPr>
                <w:b/>
              </w:rPr>
            </w:pPr>
          </w:p>
        </w:tc>
      </w:tr>
      <w:tr w:rsidR="001810D6" w:rsidTr="00345119">
        <w:tc>
          <w:tcPr>
            <w:tcW w:w="9576" w:type="dxa"/>
          </w:tcPr>
          <w:p w:rsidR="008423E4" w:rsidRPr="00A8133F" w:rsidRDefault="006B4B4E" w:rsidP="00C86F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4B4E" w:rsidP="00C86F10"/>
          <w:p w:rsidR="008423E4" w:rsidRDefault="006B4B4E" w:rsidP="00C86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</w:t>
            </w:r>
            <w:r>
              <w:t>.</w:t>
            </w:r>
            <w:r>
              <w:t xml:space="preserve"> 2686 amends the Insurance Code to </w:t>
            </w:r>
            <w:r w:rsidRPr="00E81E8C">
              <w:t>authorize a claimant</w:t>
            </w:r>
            <w:r>
              <w:t xml:space="preserve"> whose claim</w:t>
            </w:r>
            <w:r>
              <w:t xml:space="preserve"> i</w:t>
            </w:r>
            <w:r>
              <w:t>s wholly or partly denied by</w:t>
            </w:r>
            <w:r w:rsidRPr="00E81E8C">
              <w:t xml:space="preserve"> the Texas Windstorm Insurance Association (TWIA) to </w:t>
            </w:r>
            <w:r>
              <w:t>maintain</w:t>
            </w:r>
            <w:r w:rsidRPr="00E81E8C">
              <w:t xml:space="preserve"> </w:t>
            </w:r>
            <w:r w:rsidRPr="00E81E8C">
              <w:t xml:space="preserve">an action </w:t>
            </w:r>
            <w:r>
              <w:t>against TWIA concerning</w:t>
            </w:r>
            <w:r w:rsidRPr="00E81E8C">
              <w:t xml:space="preserve"> </w:t>
            </w:r>
            <w:r w:rsidRPr="00E81E8C">
              <w:t>the denial regardless of whether TWIA later accepts the previously denied portion of the claim</w:t>
            </w:r>
            <w:r>
              <w:t>.</w:t>
            </w:r>
          </w:p>
          <w:p w:rsidR="008423E4" w:rsidRPr="00835628" w:rsidRDefault="006B4B4E" w:rsidP="00C86F10">
            <w:pPr>
              <w:rPr>
                <w:b/>
              </w:rPr>
            </w:pPr>
          </w:p>
        </w:tc>
      </w:tr>
      <w:tr w:rsidR="001810D6" w:rsidTr="00345119">
        <w:tc>
          <w:tcPr>
            <w:tcW w:w="9576" w:type="dxa"/>
          </w:tcPr>
          <w:p w:rsidR="008423E4" w:rsidRPr="00A8133F" w:rsidRDefault="006B4B4E" w:rsidP="00C86F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4B4E" w:rsidP="00C86F10"/>
          <w:p w:rsidR="008423E4" w:rsidRPr="003624F2" w:rsidRDefault="006B4B4E" w:rsidP="00C86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B4B4E" w:rsidP="00C86F10">
            <w:pPr>
              <w:rPr>
                <w:b/>
              </w:rPr>
            </w:pPr>
          </w:p>
        </w:tc>
      </w:tr>
      <w:tr w:rsidR="001810D6" w:rsidTr="00345119">
        <w:tc>
          <w:tcPr>
            <w:tcW w:w="9576" w:type="dxa"/>
          </w:tcPr>
          <w:p w:rsidR="00533B35" w:rsidRDefault="006B4B4E" w:rsidP="00C86F1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00DBA" w:rsidRDefault="006B4B4E" w:rsidP="00C86F10">
            <w:pPr>
              <w:jc w:val="both"/>
              <w:rPr>
                <w:b/>
                <w:u w:val="single"/>
              </w:rPr>
            </w:pPr>
          </w:p>
          <w:p w:rsidR="002354D4" w:rsidRDefault="006B4B4E" w:rsidP="00C86F10">
            <w:pPr>
              <w:jc w:val="both"/>
            </w:pPr>
            <w:r>
              <w:t>While C.S.H.B. 2686 may differ from the original in minor</w:t>
            </w:r>
            <w:r>
              <w:t xml:space="preserve"> or nonsubstantive ways, the following summarizes the substantial differences between the introduced and committee substitute versions of the bill.</w:t>
            </w:r>
          </w:p>
          <w:p w:rsidR="002354D4" w:rsidRDefault="006B4B4E" w:rsidP="00C86F10">
            <w:pPr>
              <w:jc w:val="both"/>
            </w:pPr>
          </w:p>
          <w:p w:rsidR="002354D4" w:rsidRDefault="006B4B4E" w:rsidP="00C86F10">
            <w:pPr>
              <w:jc w:val="both"/>
            </w:pPr>
            <w:r>
              <w:t>The substitute does not include:</w:t>
            </w:r>
          </w:p>
          <w:p w:rsidR="002354D4" w:rsidRDefault="006B4B4E" w:rsidP="00C86F1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78"/>
              <w:contextualSpacing w:val="0"/>
              <w:jc w:val="both"/>
            </w:pPr>
            <w:r>
              <w:t>a provision establishing that coverage for a claim</w:t>
            </w:r>
            <w:r>
              <w:t xml:space="preserve"> not accepted by TWIA is considered denied;</w:t>
            </w:r>
          </w:p>
          <w:p w:rsidR="002354D4" w:rsidRDefault="006B4B4E" w:rsidP="00C86F1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78"/>
              <w:contextualSpacing w:val="0"/>
              <w:jc w:val="both"/>
            </w:pPr>
            <w:r>
              <w:t>a requirement for TWIA to include in a written notice accepting coverage for a claim an itemized list of the portions of the claim for which coverage is accepted; and</w:t>
            </w:r>
          </w:p>
          <w:p w:rsidR="002354D4" w:rsidRDefault="006B4B4E" w:rsidP="00C86F1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78"/>
              <w:contextualSpacing w:val="0"/>
              <w:jc w:val="both"/>
            </w:pPr>
            <w:r>
              <w:t>a provision establishing that coverage for an</w:t>
            </w:r>
            <w:r>
              <w:t>y portion not included on the list is considered denied.</w:t>
            </w:r>
          </w:p>
          <w:p w:rsidR="002354D4" w:rsidRDefault="006B4B4E" w:rsidP="00C86F10">
            <w:pPr>
              <w:jc w:val="both"/>
            </w:pPr>
          </w:p>
          <w:p w:rsidR="002354D4" w:rsidRDefault="006B4B4E" w:rsidP="00C86F10">
            <w:pPr>
              <w:jc w:val="both"/>
            </w:pPr>
            <w:r>
              <w:t xml:space="preserve">The substitute includes an authorization for a claimant whose claim is wholly or partly denied by TWIA to </w:t>
            </w:r>
            <w:r>
              <w:t xml:space="preserve">maintain </w:t>
            </w:r>
            <w:r>
              <w:t xml:space="preserve">an action </w:t>
            </w:r>
            <w:r>
              <w:t>against TWIA concerning</w:t>
            </w:r>
            <w:r>
              <w:t xml:space="preserve"> the denial, </w:t>
            </w:r>
            <w:r w:rsidRPr="00C61DDD">
              <w:t>regardless of whether TWIA later acce</w:t>
            </w:r>
            <w:r w:rsidRPr="00C61DDD">
              <w:t>pts the previously denied portion of the claim.</w:t>
            </w:r>
          </w:p>
          <w:p w:rsidR="002354D4" w:rsidRPr="00533B35" w:rsidRDefault="006B4B4E" w:rsidP="00C86F10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6B4B4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4B4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4B4E">
      <w:r>
        <w:separator/>
      </w:r>
    </w:p>
  </w:endnote>
  <w:endnote w:type="continuationSeparator" w:id="0">
    <w:p w:rsidR="00000000" w:rsidRDefault="006B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10D6" w:rsidTr="009C1E9A">
      <w:trPr>
        <w:cantSplit/>
      </w:trPr>
      <w:tc>
        <w:tcPr>
          <w:tcW w:w="0" w:type="pct"/>
        </w:tcPr>
        <w:p w:rsidR="00137D90" w:rsidRDefault="006B4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4B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4B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4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4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10D6" w:rsidTr="009C1E9A">
      <w:trPr>
        <w:cantSplit/>
      </w:trPr>
      <w:tc>
        <w:tcPr>
          <w:tcW w:w="0" w:type="pct"/>
        </w:tcPr>
        <w:p w:rsidR="00EC379B" w:rsidRDefault="006B4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4B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28634</w:t>
          </w:r>
        </w:p>
      </w:tc>
      <w:tc>
        <w:tcPr>
          <w:tcW w:w="2453" w:type="pct"/>
        </w:tcPr>
        <w:p w:rsidR="00EC379B" w:rsidRDefault="006B4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19.108.677</w:t>
          </w:r>
          <w:r>
            <w:fldChar w:fldCharType="end"/>
          </w:r>
        </w:p>
      </w:tc>
    </w:tr>
    <w:tr w:rsidR="001810D6" w:rsidTr="009C1E9A">
      <w:trPr>
        <w:cantSplit/>
      </w:trPr>
      <w:tc>
        <w:tcPr>
          <w:tcW w:w="0" w:type="pct"/>
        </w:tcPr>
        <w:p w:rsidR="00EC379B" w:rsidRDefault="006B4B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4B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28141</w:t>
          </w:r>
        </w:p>
      </w:tc>
      <w:tc>
        <w:tcPr>
          <w:tcW w:w="2453" w:type="pct"/>
        </w:tcPr>
        <w:p w:rsidR="00EC379B" w:rsidRDefault="006B4B4E" w:rsidP="006D504F">
          <w:pPr>
            <w:pStyle w:val="Footer"/>
            <w:rPr>
              <w:rStyle w:val="PageNumber"/>
            </w:rPr>
          </w:pPr>
        </w:p>
        <w:p w:rsidR="00EC379B" w:rsidRDefault="006B4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10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4B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B4B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4B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4B4E">
      <w:r>
        <w:separator/>
      </w:r>
    </w:p>
  </w:footnote>
  <w:footnote w:type="continuationSeparator" w:id="0">
    <w:p w:rsidR="00000000" w:rsidRDefault="006B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4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1773"/>
    <w:multiLevelType w:val="hybridMultilevel"/>
    <w:tmpl w:val="ACD6237C"/>
    <w:lvl w:ilvl="0" w:tplc="B8E474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2940A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7C966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C496C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E5A2A4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1259B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A7CE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F84548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5A8EA8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D6"/>
    <w:rsid w:val="001810D6"/>
    <w:rsid w:val="006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6B527E-1E63-4090-B25E-870F0BA9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3D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3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3D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DDC"/>
    <w:rPr>
      <w:b/>
      <w:bCs/>
    </w:rPr>
  </w:style>
  <w:style w:type="character" w:styleId="Hyperlink">
    <w:name w:val="Hyperlink"/>
    <w:basedOn w:val="DefaultParagraphFont"/>
    <w:unhideWhenUsed/>
    <w:rsid w:val="004B5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9C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D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1923</Characters>
  <Application>Microsoft Office Word</Application>
  <DocSecurity>4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HB02686 (Committee Report (Substituted))</vt:lpstr>
    </vt:vector>
  </TitlesOfParts>
  <Company>State of Texas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28634</dc:subject>
  <dc:creator>State of Texas</dc:creator>
  <dc:description>HB 2686 by Lucio III-(H)Insurance (Substitute Document Number: 86R 28141)</dc:description>
  <cp:lastModifiedBy>Stacey Nicchio</cp:lastModifiedBy>
  <cp:revision>2</cp:revision>
  <cp:lastPrinted>2003-11-26T17:21:00Z</cp:lastPrinted>
  <dcterms:created xsi:type="dcterms:W3CDTF">2019-04-18T22:00:00Z</dcterms:created>
  <dcterms:modified xsi:type="dcterms:W3CDTF">2019-04-18T22:00:00Z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19.108.677</vt:lpwstr>
  </property>
</Properties>
</file>