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CB" w:rsidRDefault="00FC68C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FDF4B4359F04929A3AA4B292BEC731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C68CB" w:rsidRPr="00585C31" w:rsidRDefault="00FC68CB" w:rsidP="000F1DF9">
      <w:pPr>
        <w:spacing w:after="0" w:line="240" w:lineRule="auto"/>
        <w:rPr>
          <w:rFonts w:cs="Times New Roman"/>
          <w:szCs w:val="24"/>
        </w:rPr>
      </w:pPr>
    </w:p>
    <w:p w:rsidR="00FC68CB" w:rsidRPr="00585C31" w:rsidRDefault="00FC68C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C68CB" w:rsidTr="000F1DF9">
        <w:tc>
          <w:tcPr>
            <w:tcW w:w="2718" w:type="dxa"/>
          </w:tcPr>
          <w:p w:rsidR="00FC68CB" w:rsidRPr="005C2A78" w:rsidRDefault="00FC68C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9AC46B9F46E408FBD95B422BF94F05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C68CB" w:rsidRPr="00FF6471" w:rsidRDefault="00FC68C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F5F1FA8B9C240FF8D3EC3D3C62D22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2694</w:t>
                </w:r>
              </w:sdtContent>
            </w:sdt>
          </w:p>
        </w:tc>
      </w:tr>
      <w:tr w:rsidR="00FC68C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20DC6811CDA4DA1B6F14B930F94AF25"/>
            </w:placeholder>
          </w:sdtPr>
          <w:sdtContent>
            <w:tc>
              <w:tcPr>
                <w:tcW w:w="2718" w:type="dxa"/>
              </w:tcPr>
              <w:p w:rsidR="00FC68CB" w:rsidRPr="000F1DF9" w:rsidRDefault="00FC68C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86R19708 JES-F</w:t>
                </w:r>
              </w:p>
            </w:tc>
          </w:sdtContent>
        </w:sdt>
        <w:tc>
          <w:tcPr>
            <w:tcW w:w="6858" w:type="dxa"/>
          </w:tcPr>
          <w:p w:rsidR="00FC68CB" w:rsidRPr="005C2A78" w:rsidRDefault="00FC68C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71DE286275141B68404C8EB8D63DC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D8CF16A1F5942678D74005896ABA10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 III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06423E7AECA4F489597A0EFE86C2E8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FC68CB" w:rsidTr="000F1DF9">
        <w:tc>
          <w:tcPr>
            <w:tcW w:w="2718" w:type="dxa"/>
          </w:tcPr>
          <w:p w:rsidR="00FC68CB" w:rsidRPr="00BC7495" w:rsidRDefault="00FC68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A92BA58E2AF4A08B26681CA75E45F95"/>
            </w:placeholder>
          </w:sdtPr>
          <w:sdtContent>
            <w:tc>
              <w:tcPr>
                <w:tcW w:w="6858" w:type="dxa"/>
              </w:tcPr>
              <w:p w:rsidR="00FC68CB" w:rsidRPr="00FF6471" w:rsidRDefault="00FC68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FC68CB" w:rsidTr="000F1DF9">
        <w:tc>
          <w:tcPr>
            <w:tcW w:w="2718" w:type="dxa"/>
          </w:tcPr>
          <w:p w:rsidR="00FC68CB" w:rsidRPr="00BC7495" w:rsidRDefault="00FC68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B9F5B15D110483EB7E716A50AF5BB23"/>
            </w:placeholder>
            <w:date w:fullDate="2019-05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C68CB" w:rsidRPr="00FF6471" w:rsidRDefault="00FC68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5/1/2019</w:t>
                </w:r>
              </w:p>
            </w:tc>
          </w:sdtContent>
        </w:sdt>
      </w:tr>
      <w:tr w:rsidR="00FC68CB" w:rsidTr="000F1DF9">
        <w:tc>
          <w:tcPr>
            <w:tcW w:w="2718" w:type="dxa"/>
          </w:tcPr>
          <w:p w:rsidR="00FC68CB" w:rsidRPr="00BC7495" w:rsidRDefault="00FC68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6EB6897FE5840298BA9C0FEDD9144DE"/>
            </w:placeholder>
          </w:sdtPr>
          <w:sdtContent>
            <w:tc>
              <w:tcPr>
                <w:tcW w:w="6858" w:type="dxa"/>
              </w:tcPr>
              <w:p w:rsidR="00FC68CB" w:rsidRPr="00FF6471" w:rsidRDefault="00FC68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C68CB" w:rsidRPr="00FF6471" w:rsidRDefault="00FC68CB" w:rsidP="000F1DF9">
      <w:pPr>
        <w:spacing w:after="0" w:line="240" w:lineRule="auto"/>
        <w:rPr>
          <w:rFonts w:cs="Times New Roman"/>
          <w:szCs w:val="24"/>
        </w:rPr>
      </w:pPr>
    </w:p>
    <w:p w:rsidR="00FC68CB" w:rsidRPr="00FF6471" w:rsidRDefault="00FC68CB" w:rsidP="000F1DF9">
      <w:pPr>
        <w:spacing w:after="0" w:line="240" w:lineRule="auto"/>
        <w:rPr>
          <w:rFonts w:cs="Times New Roman"/>
          <w:szCs w:val="24"/>
        </w:rPr>
      </w:pPr>
    </w:p>
    <w:p w:rsidR="00FC68CB" w:rsidRPr="00FF6471" w:rsidRDefault="00FC68C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D7D1937595F4D8CB36E325DE8AD1B11"/>
        </w:placeholder>
      </w:sdtPr>
      <w:sdtContent>
        <w:p w:rsidR="00FC68CB" w:rsidRDefault="00FC68C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55BB0616A051403A8D78B249F34F1879"/>
        </w:placeholder>
      </w:sdtPr>
      <w:sdtEndPr/>
      <w:sdtContent>
        <w:p w:rsidR="00FC68CB" w:rsidRDefault="00FC68CB" w:rsidP="00FC68CB">
          <w:pPr>
            <w:pStyle w:val="NormalWeb"/>
            <w:spacing w:before="0" w:beforeAutospacing="0" w:after="0" w:afterAutospacing="0"/>
            <w:jc w:val="both"/>
            <w:divId w:val="1692730418"/>
            <w:rPr>
              <w:rFonts w:eastAsia="Times New Roman"/>
              <w:bCs/>
            </w:rPr>
          </w:pPr>
        </w:p>
        <w:p w:rsidR="00FC68CB" w:rsidRPr="00D70925" w:rsidRDefault="00FC68CB" w:rsidP="00FC68C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FC68CB">
            <w:rPr>
              <w:rFonts w:cs="Times New Roman"/>
              <w:szCs w:val="24"/>
            </w:rPr>
            <w:t>H.B. 2694 amends current law relating to the authority of certain insurers to make investments in bond exchange-traded funds.</w:t>
          </w:r>
        </w:p>
      </w:sdtContent>
    </w:sdt>
    <w:p w:rsidR="00FC68CB" w:rsidRPr="00D311AB" w:rsidRDefault="00FC68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FC68CB" w:rsidRPr="005C2A78" w:rsidRDefault="00FC68C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D537AC867974858B7E002286BC04E2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C68CB" w:rsidRPr="006529C4" w:rsidRDefault="00FC68C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C68CB" w:rsidRPr="006529C4" w:rsidRDefault="00FC68C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C68CB" w:rsidRPr="006529C4" w:rsidRDefault="00FC68C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C68CB" w:rsidRPr="005C2A78" w:rsidRDefault="00FC68C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67C934952B74983A5716293876530F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C68CB" w:rsidRPr="005C2A78" w:rsidRDefault="00FC68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C68CB" w:rsidRPr="00D311AB" w:rsidRDefault="00FC68CB" w:rsidP="00D75360">
      <w:pPr>
        <w:spacing w:after="0" w:line="240" w:lineRule="auto"/>
        <w:jc w:val="both"/>
      </w:pPr>
      <w:r w:rsidRPr="00D311AB">
        <w:rPr>
          <w:rFonts w:eastAsia="Times New Roman" w:cs="Times New Roman"/>
          <w:szCs w:val="24"/>
        </w:rPr>
        <w:t xml:space="preserve">SECTION 1. Amends </w:t>
      </w:r>
      <w:r w:rsidRPr="00D311AB">
        <w:t xml:space="preserve">Subchapter B, Chapter 424, Insurance Code, by adding Section 424.075, as follows: </w:t>
      </w:r>
    </w:p>
    <w:p w:rsidR="00FC68CB" w:rsidRPr="00D311AB" w:rsidRDefault="00FC68CB" w:rsidP="00D75360">
      <w:pPr>
        <w:spacing w:after="0" w:line="240" w:lineRule="auto"/>
        <w:jc w:val="both"/>
      </w:pPr>
    </w:p>
    <w:p w:rsidR="00FC68CB" w:rsidRPr="00D311AB" w:rsidRDefault="00FC68CB" w:rsidP="00D75360">
      <w:pPr>
        <w:spacing w:after="0" w:line="240" w:lineRule="auto"/>
        <w:ind w:left="720"/>
        <w:jc w:val="both"/>
      </w:pPr>
      <w:r w:rsidRPr="00D311AB">
        <w:t>Sec. 424.075. AUTHORIZED INVESTMENTS: BOND EXCHANGE-TRADED FUNDS. (a) Defines "bond exchange</w:t>
      </w:r>
      <w:r w:rsidRPr="00D311AB">
        <w:noBreakHyphen/>
        <w:t xml:space="preserve">traded fund" for purposes of this section. </w:t>
      </w:r>
    </w:p>
    <w:p w:rsidR="00FC68CB" w:rsidRPr="00D311AB" w:rsidRDefault="00FC68CB" w:rsidP="00D75360">
      <w:pPr>
        <w:spacing w:after="0" w:line="240" w:lineRule="auto"/>
        <w:ind w:left="720"/>
        <w:jc w:val="both"/>
      </w:pPr>
    </w:p>
    <w:p w:rsidR="00FC68CB" w:rsidRPr="00D311AB" w:rsidRDefault="00FC68CB" w:rsidP="00D75360">
      <w:pPr>
        <w:spacing w:after="0" w:line="240" w:lineRule="auto"/>
        <w:ind w:left="1440"/>
        <w:jc w:val="both"/>
      </w:pPr>
      <w:r w:rsidRPr="00D311AB">
        <w:t xml:space="preserve">(b) Authorizes an insurer </w:t>
      </w:r>
      <w:r>
        <w:t>to</w:t>
      </w:r>
      <w:r w:rsidRPr="00D311AB">
        <w:t xml:space="preserve"> invest the insurer's funds in excess of minimum capital and surplus in shares of a bond exchange-traded fund if:</w:t>
      </w:r>
    </w:p>
    <w:p w:rsidR="00FC68CB" w:rsidRPr="00D311AB" w:rsidRDefault="00FC68CB" w:rsidP="00D75360">
      <w:pPr>
        <w:spacing w:after="0" w:line="240" w:lineRule="auto"/>
        <w:ind w:left="1440"/>
        <w:jc w:val="both"/>
      </w:pPr>
    </w:p>
    <w:p w:rsidR="00FC68CB" w:rsidRPr="00D311AB" w:rsidRDefault="00FC68CB" w:rsidP="00D75360">
      <w:pPr>
        <w:spacing w:after="0" w:line="240" w:lineRule="auto"/>
        <w:ind w:left="2160"/>
        <w:jc w:val="both"/>
      </w:pPr>
      <w:r w:rsidRPr="00D311AB">
        <w:t>(1) the exchange-traded fund is solvent and reported at least $10 million of net assets in the exchange-traded fund's latest annual or more recent certified audited financial statement;</w:t>
      </w:r>
    </w:p>
    <w:p w:rsidR="00FC68CB" w:rsidRPr="00D311AB" w:rsidRDefault="00FC68CB" w:rsidP="00D75360">
      <w:pPr>
        <w:spacing w:after="0" w:line="240" w:lineRule="auto"/>
        <w:ind w:left="2160"/>
        <w:jc w:val="both"/>
      </w:pPr>
    </w:p>
    <w:p w:rsidR="00FC68CB" w:rsidRPr="00D311AB" w:rsidRDefault="00FC68CB" w:rsidP="00D75360">
      <w:pPr>
        <w:spacing w:after="0" w:line="240" w:lineRule="auto"/>
        <w:ind w:left="2160"/>
        <w:jc w:val="both"/>
      </w:pPr>
      <w:r w:rsidRPr="00D311AB">
        <w:t>(2) the exchange-traded fund is eligible for reporting as a long-term bond in the Purposes and Procedures Manual of the securities valuation office or a successor publication; and</w:t>
      </w:r>
    </w:p>
    <w:p w:rsidR="00FC68CB" w:rsidRPr="00D311AB" w:rsidRDefault="00FC68CB" w:rsidP="00D75360">
      <w:pPr>
        <w:spacing w:after="0" w:line="240" w:lineRule="auto"/>
        <w:ind w:left="2160"/>
        <w:jc w:val="both"/>
      </w:pPr>
    </w:p>
    <w:p w:rsidR="00FC68CB" w:rsidRPr="00D311AB" w:rsidRDefault="00FC68CB" w:rsidP="00D75360">
      <w:pPr>
        <w:spacing w:after="0" w:line="240" w:lineRule="auto"/>
        <w:ind w:left="2160"/>
        <w:jc w:val="both"/>
      </w:pPr>
      <w:r w:rsidRPr="00D311AB">
        <w:t>(3) the amount of the insurer's investment in the exchange-traded fund does not exceed 15 percent of the insurer's funds in excess of minimum capital and surplus.</w:t>
      </w:r>
    </w:p>
    <w:p w:rsidR="00FC68CB" w:rsidRPr="00D311AB" w:rsidRDefault="00FC68CB" w:rsidP="00D75360">
      <w:pPr>
        <w:spacing w:after="0" w:line="240" w:lineRule="auto"/>
        <w:ind w:left="2160"/>
        <w:jc w:val="both"/>
      </w:pPr>
    </w:p>
    <w:p w:rsidR="00FC68CB" w:rsidRPr="00D311AB" w:rsidRDefault="00FC68CB" w:rsidP="00D7536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311AB">
        <w:t>(c) Authorizes an insurer to deposit</w:t>
      </w:r>
      <w:r>
        <w:t xml:space="preserve"> with the Texas D</w:t>
      </w:r>
      <w:r w:rsidRPr="00D311AB">
        <w:t xml:space="preserve">epartment </w:t>
      </w:r>
      <w:r>
        <w:t xml:space="preserve">of Insurance (TDI) </w:t>
      </w:r>
      <w:r w:rsidRPr="00D311AB">
        <w:t xml:space="preserve">shares of a bond exchange-traded fund described by Subsection (b) as a statutory deposit if state law requires a statutory deposit from the insurer. </w:t>
      </w:r>
    </w:p>
    <w:p w:rsidR="00FC68CB" w:rsidRPr="00D311AB" w:rsidRDefault="00FC68CB" w:rsidP="00D7536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C68CB" w:rsidRPr="00D311AB" w:rsidRDefault="00FC68CB" w:rsidP="00D75360">
      <w:pPr>
        <w:spacing w:after="0" w:line="240" w:lineRule="auto"/>
        <w:jc w:val="both"/>
      </w:pPr>
      <w:r w:rsidRPr="00D311AB">
        <w:rPr>
          <w:rFonts w:eastAsia="Times New Roman" w:cs="Times New Roman"/>
          <w:szCs w:val="24"/>
        </w:rPr>
        <w:t xml:space="preserve">SECTION 2. Amends </w:t>
      </w:r>
      <w:r w:rsidRPr="00D311AB">
        <w:t xml:space="preserve">Subchapter C, Chapter 425, Insurance Code, by adding Section 425.1231, as follows: </w:t>
      </w:r>
    </w:p>
    <w:p w:rsidR="00FC68CB" w:rsidRPr="00D311AB" w:rsidRDefault="00FC68CB" w:rsidP="00D75360">
      <w:pPr>
        <w:spacing w:after="0" w:line="240" w:lineRule="auto"/>
        <w:jc w:val="both"/>
      </w:pPr>
    </w:p>
    <w:p w:rsidR="00FC68CB" w:rsidRPr="00D311AB" w:rsidRDefault="00FC68CB" w:rsidP="00D75360">
      <w:pPr>
        <w:spacing w:after="0" w:line="240" w:lineRule="auto"/>
        <w:ind w:left="720"/>
        <w:jc w:val="both"/>
      </w:pPr>
      <w:r w:rsidRPr="00D311AB">
        <w:rPr>
          <w:rFonts w:eastAsia="Times New Roman" w:cs="Times New Roman"/>
          <w:szCs w:val="24"/>
        </w:rPr>
        <w:t xml:space="preserve">Sec. 425.1231. </w:t>
      </w:r>
      <w:r w:rsidRPr="00D311AB">
        <w:t>AUTHORIZED INVESTMENTS: BOND EXCHANGE-TRADED FUNDS. (a) Defines "bond exchange</w:t>
      </w:r>
      <w:r w:rsidRPr="00D311AB">
        <w:noBreakHyphen/>
        <w:t xml:space="preserve">traded program" for purposes of this section. </w:t>
      </w:r>
    </w:p>
    <w:p w:rsidR="00FC68CB" w:rsidRPr="00D311AB" w:rsidRDefault="00FC68CB" w:rsidP="00D75360">
      <w:pPr>
        <w:spacing w:after="0" w:line="240" w:lineRule="auto"/>
        <w:ind w:left="720"/>
        <w:jc w:val="both"/>
      </w:pPr>
    </w:p>
    <w:p w:rsidR="00FC68CB" w:rsidRPr="00D311AB" w:rsidRDefault="00FC68CB" w:rsidP="00D75360">
      <w:pPr>
        <w:spacing w:after="0" w:line="240" w:lineRule="auto"/>
        <w:ind w:left="1440"/>
        <w:jc w:val="both"/>
      </w:pPr>
      <w:r w:rsidRPr="00D311AB">
        <w:t>(b) Authorizes an insurance company to invest the company's funds in excess of minimum capital and surplus in shares of a bond exchange-traded fund if:</w:t>
      </w:r>
    </w:p>
    <w:p w:rsidR="00FC68CB" w:rsidRPr="00D311AB" w:rsidRDefault="00FC68CB" w:rsidP="00D75360">
      <w:pPr>
        <w:spacing w:after="0" w:line="240" w:lineRule="auto"/>
        <w:ind w:left="1440"/>
        <w:jc w:val="both"/>
      </w:pPr>
    </w:p>
    <w:p w:rsidR="00FC68CB" w:rsidRPr="00D311AB" w:rsidRDefault="00FC68CB" w:rsidP="00D75360">
      <w:pPr>
        <w:spacing w:after="0" w:line="240" w:lineRule="auto"/>
        <w:ind w:left="2160"/>
        <w:jc w:val="both"/>
      </w:pPr>
      <w:r w:rsidRPr="00D311AB">
        <w:t>(1) the exchange-traded fund is solvent and reported at least $10 million of net assets in the exchange-traded fund's latest annual or more recent certified audited financial statement;</w:t>
      </w:r>
    </w:p>
    <w:p w:rsidR="00FC68CB" w:rsidRPr="00D311AB" w:rsidRDefault="00FC68CB" w:rsidP="00D75360">
      <w:pPr>
        <w:spacing w:after="0" w:line="240" w:lineRule="auto"/>
        <w:ind w:left="2160"/>
        <w:jc w:val="both"/>
      </w:pPr>
    </w:p>
    <w:p w:rsidR="00FC68CB" w:rsidRPr="00D311AB" w:rsidRDefault="00FC68CB" w:rsidP="00D75360">
      <w:pPr>
        <w:spacing w:after="0" w:line="240" w:lineRule="auto"/>
        <w:ind w:left="2160"/>
        <w:jc w:val="both"/>
      </w:pPr>
      <w:r w:rsidRPr="00D311AB">
        <w:t>(2) the exchange-traded fund is eligible for reporting as a long-term bond in the Purposes and Procedures Manual of the securities valuation office or a successor publication; and</w:t>
      </w:r>
    </w:p>
    <w:p w:rsidR="00FC68CB" w:rsidRPr="00D311AB" w:rsidRDefault="00FC68CB" w:rsidP="00D75360">
      <w:pPr>
        <w:spacing w:after="0" w:line="240" w:lineRule="auto"/>
        <w:ind w:left="2160"/>
        <w:jc w:val="both"/>
      </w:pPr>
    </w:p>
    <w:p w:rsidR="00FC68CB" w:rsidRPr="00D311AB" w:rsidRDefault="00FC68CB" w:rsidP="00D75360">
      <w:pPr>
        <w:spacing w:after="0" w:line="240" w:lineRule="auto"/>
        <w:ind w:left="2160"/>
        <w:jc w:val="both"/>
        <w:rPr>
          <w:rFonts w:cs="Times New Roman"/>
        </w:rPr>
      </w:pPr>
      <w:r w:rsidRPr="00D311AB">
        <w:t>(3) the amount of the insurance company's investment in the exchange-traded fund does not exceed the investment amount limit in Section 425.157(</w:t>
      </w:r>
      <w:r w:rsidRPr="00D311AB">
        <w:rPr>
          <w:rFonts w:cs="Times New Roman"/>
        </w:rPr>
        <w:t xml:space="preserve">b) (relating to prohibiting an </w:t>
      </w:r>
      <w:r w:rsidRPr="00D311AB">
        <w:rPr>
          <w:rFonts w:cs="Times New Roman"/>
          <w:color w:val="000000"/>
          <w:shd w:val="clear" w:color="auto" w:fill="FFFFFF"/>
        </w:rPr>
        <w:t>insurance company's investments in all or any types of securities, loans, obligations, or evidences of indebtedness of a single issuer or borrower, including the issuer's or borrower's majority-owned subsidiaries or parent and the majority-owned subsidiaries of the issuer's or borrower's parent, from, in the aggregate, exceeding five percent of the company's assets)</w:t>
      </w:r>
      <w:r w:rsidRPr="00D311AB">
        <w:rPr>
          <w:rFonts w:cs="Times New Roman"/>
        </w:rPr>
        <w:t>.</w:t>
      </w:r>
    </w:p>
    <w:p w:rsidR="00FC68CB" w:rsidRPr="00D311AB" w:rsidRDefault="00FC68CB" w:rsidP="00D75360">
      <w:pPr>
        <w:spacing w:after="0" w:line="240" w:lineRule="auto"/>
        <w:ind w:left="2160"/>
        <w:jc w:val="both"/>
      </w:pPr>
    </w:p>
    <w:p w:rsidR="00FC68CB" w:rsidRPr="00D311AB" w:rsidRDefault="00FC68CB" w:rsidP="00D75360">
      <w:pPr>
        <w:spacing w:after="0" w:line="240" w:lineRule="auto"/>
        <w:ind w:left="1440"/>
        <w:jc w:val="both"/>
      </w:pPr>
      <w:r w:rsidRPr="00D311AB">
        <w:t xml:space="preserve">(c) Authorizes an insurance company to deposit with </w:t>
      </w:r>
      <w:r>
        <w:t>TDI</w:t>
      </w:r>
      <w:r w:rsidRPr="00D311AB">
        <w:t xml:space="preserve"> shares of a bond exchange-traded fund described by Subsection (b) as a statutory deposit if state law requires a statutory deposit from the insurance company. </w:t>
      </w:r>
    </w:p>
    <w:p w:rsidR="00FC68CB" w:rsidRPr="00D311AB" w:rsidRDefault="00FC68CB" w:rsidP="00D75360">
      <w:pPr>
        <w:spacing w:after="0" w:line="240" w:lineRule="auto"/>
        <w:ind w:left="1440"/>
        <w:jc w:val="both"/>
      </w:pPr>
    </w:p>
    <w:p w:rsidR="00FC68CB" w:rsidRPr="00D311AB" w:rsidRDefault="00FC68CB" w:rsidP="00D7536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311AB">
        <w:t xml:space="preserve">(d) Requires each bond exchange-traded fund described by Subsection (b) </w:t>
      </w:r>
      <w:r>
        <w:t xml:space="preserve">to </w:t>
      </w:r>
      <w:r w:rsidRPr="00D311AB">
        <w:t>be considered a separate issuer of shares and a business entity for purposes of Section 425.110</w:t>
      </w:r>
      <w:r>
        <w:t xml:space="preserve"> (Authorized Investments: Obligations of and Other Investments in Business Entities)</w:t>
      </w:r>
      <w:r w:rsidRPr="00D311AB">
        <w:t xml:space="preserve">. </w:t>
      </w:r>
    </w:p>
    <w:p w:rsidR="00FC68CB" w:rsidRPr="00D311AB" w:rsidRDefault="00FC68CB" w:rsidP="00D7536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C68CB" w:rsidRPr="00D311AB" w:rsidRDefault="00FC68CB" w:rsidP="00D75360">
      <w:pPr>
        <w:spacing w:after="0" w:line="240" w:lineRule="auto"/>
        <w:jc w:val="both"/>
      </w:pPr>
      <w:r w:rsidRPr="00D311AB">
        <w:rPr>
          <w:rFonts w:eastAsia="Times New Roman" w:cs="Times New Roman"/>
          <w:szCs w:val="24"/>
        </w:rPr>
        <w:t xml:space="preserve">SECTION 3. Amends </w:t>
      </w:r>
      <w:r w:rsidRPr="00D311AB">
        <w:t>Subchapter D, Chapter 425, Insurance Code, by adding Section 425.2061, as follows:</w:t>
      </w:r>
    </w:p>
    <w:p w:rsidR="00FC68CB" w:rsidRPr="00D311AB" w:rsidRDefault="00FC68CB" w:rsidP="00D75360">
      <w:pPr>
        <w:spacing w:after="0" w:line="240" w:lineRule="auto"/>
        <w:jc w:val="both"/>
      </w:pPr>
    </w:p>
    <w:p w:rsidR="00FC68CB" w:rsidRPr="00D311AB" w:rsidRDefault="00FC68CB" w:rsidP="00D75360">
      <w:pPr>
        <w:spacing w:after="0" w:line="240" w:lineRule="auto"/>
        <w:ind w:left="720"/>
        <w:jc w:val="both"/>
      </w:pPr>
      <w:r w:rsidRPr="00D311AB">
        <w:t xml:space="preserve">Sec. 425.2061. AUTHORIZED INVESTMENTS FOR ALL FUNDS: BOND EXCHANGE-TRADED FUNDS. Authorizes an insurer, subject to Section 425.157(b), </w:t>
      </w:r>
      <w:r>
        <w:t>to</w:t>
      </w:r>
      <w:r w:rsidRPr="00D311AB">
        <w:t xml:space="preserve"> invest any of the insurer's funds and accumulations in a bond exchange-traded fund, as defined by Section 425.1231(a). </w:t>
      </w:r>
    </w:p>
    <w:p w:rsidR="00FC68CB" w:rsidRPr="00D311AB" w:rsidRDefault="00FC68CB" w:rsidP="00D75360">
      <w:pPr>
        <w:spacing w:after="0" w:line="240" w:lineRule="auto"/>
        <w:ind w:left="720"/>
        <w:jc w:val="both"/>
      </w:pPr>
    </w:p>
    <w:p w:rsidR="00FC68CB" w:rsidRPr="00C8671F" w:rsidRDefault="00FC68CB" w:rsidP="00D7536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311AB">
        <w:t>SECTION 4. Effective date: September 1, 2019.</w:t>
      </w:r>
      <w:r>
        <w:rPr>
          <w:u w:val="single"/>
        </w:rPr>
        <w:t xml:space="preserve"> </w:t>
      </w:r>
    </w:p>
    <w:sectPr w:rsidR="00FC68C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7C" w:rsidRDefault="007A407C" w:rsidP="000F1DF9">
      <w:pPr>
        <w:spacing w:after="0" w:line="240" w:lineRule="auto"/>
      </w:pPr>
      <w:r>
        <w:separator/>
      </w:r>
    </w:p>
  </w:endnote>
  <w:endnote w:type="continuationSeparator" w:id="0">
    <w:p w:rsidR="007A407C" w:rsidRDefault="007A407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A407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C68CB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C68CB">
                <w:rPr>
                  <w:sz w:val="20"/>
                  <w:szCs w:val="20"/>
                </w:rPr>
                <w:t>H.B. 2694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C68C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A407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C68C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C68C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7C" w:rsidRDefault="007A407C" w:rsidP="000F1DF9">
      <w:pPr>
        <w:spacing w:after="0" w:line="240" w:lineRule="auto"/>
      </w:pPr>
      <w:r>
        <w:separator/>
      </w:r>
    </w:p>
  </w:footnote>
  <w:footnote w:type="continuationSeparator" w:id="0">
    <w:p w:rsidR="007A407C" w:rsidRDefault="007A407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A407C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68CB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42724-87FD-4443-B20B-721234BB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8C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C5407" w:rsidP="002C540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FDF4B4359F04929A3AA4B292BEC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FF0E7-8A01-4EE9-923F-AE7E1F645D98}"/>
      </w:docPartPr>
      <w:docPartBody>
        <w:p w:rsidR="00000000" w:rsidRDefault="001E2A37"/>
      </w:docPartBody>
    </w:docPart>
    <w:docPart>
      <w:docPartPr>
        <w:name w:val="49AC46B9F46E408FBD95B422BF94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3CFB-E04D-4455-A2AD-29CB826D562B}"/>
      </w:docPartPr>
      <w:docPartBody>
        <w:p w:rsidR="00000000" w:rsidRDefault="001E2A37"/>
      </w:docPartBody>
    </w:docPart>
    <w:docPart>
      <w:docPartPr>
        <w:name w:val="9F5F1FA8B9C240FF8D3EC3D3C62D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5142-D3D1-41C1-AEF0-D111FDA3C55A}"/>
      </w:docPartPr>
      <w:docPartBody>
        <w:p w:rsidR="00000000" w:rsidRDefault="001E2A37"/>
      </w:docPartBody>
    </w:docPart>
    <w:docPart>
      <w:docPartPr>
        <w:name w:val="120DC6811CDA4DA1B6F14B930F94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0D1C-E3C6-489E-B2C7-B422A7DF0A00}"/>
      </w:docPartPr>
      <w:docPartBody>
        <w:p w:rsidR="00000000" w:rsidRDefault="001E2A37"/>
      </w:docPartBody>
    </w:docPart>
    <w:docPart>
      <w:docPartPr>
        <w:name w:val="871DE286275141B68404C8EB8D63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6F44-A73B-44B7-9E26-12BD33E027C5}"/>
      </w:docPartPr>
      <w:docPartBody>
        <w:p w:rsidR="00000000" w:rsidRDefault="001E2A37"/>
      </w:docPartBody>
    </w:docPart>
    <w:docPart>
      <w:docPartPr>
        <w:name w:val="CD8CF16A1F5942678D74005896AB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1596-EA42-4957-9723-E692E33D0192}"/>
      </w:docPartPr>
      <w:docPartBody>
        <w:p w:rsidR="00000000" w:rsidRDefault="001E2A37"/>
      </w:docPartBody>
    </w:docPart>
    <w:docPart>
      <w:docPartPr>
        <w:name w:val="806423E7AECA4F489597A0EFE86C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B69B-3284-4513-A89D-EE924F4AF7DA}"/>
      </w:docPartPr>
      <w:docPartBody>
        <w:p w:rsidR="00000000" w:rsidRDefault="001E2A37"/>
      </w:docPartBody>
    </w:docPart>
    <w:docPart>
      <w:docPartPr>
        <w:name w:val="7A92BA58E2AF4A08B26681CA75E4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4E64-B23E-43BF-8107-95AB555317BC}"/>
      </w:docPartPr>
      <w:docPartBody>
        <w:p w:rsidR="00000000" w:rsidRDefault="001E2A37"/>
      </w:docPartBody>
    </w:docPart>
    <w:docPart>
      <w:docPartPr>
        <w:name w:val="6B9F5B15D110483EB7E716A50AF5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70CA-013E-449F-9E7E-067BF0D0B068}"/>
      </w:docPartPr>
      <w:docPartBody>
        <w:p w:rsidR="00000000" w:rsidRDefault="002C5407" w:rsidP="002C5407">
          <w:pPr>
            <w:pStyle w:val="6B9F5B15D110483EB7E716A50AF5BB2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6EB6897FE5840298BA9C0FEDD9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CCC3-70AA-4DF0-8C65-400679054A51}"/>
      </w:docPartPr>
      <w:docPartBody>
        <w:p w:rsidR="00000000" w:rsidRDefault="001E2A37"/>
      </w:docPartBody>
    </w:docPart>
    <w:docPart>
      <w:docPartPr>
        <w:name w:val="BD7D1937595F4D8CB36E325DE8A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5E93-97C6-4E71-A972-E428851D298E}"/>
      </w:docPartPr>
      <w:docPartBody>
        <w:p w:rsidR="00000000" w:rsidRDefault="001E2A37"/>
      </w:docPartBody>
    </w:docPart>
    <w:docPart>
      <w:docPartPr>
        <w:name w:val="55BB0616A051403A8D78B249F34F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0598-18E6-4759-8A42-820012557636}"/>
      </w:docPartPr>
      <w:docPartBody>
        <w:p w:rsidR="00000000" w:rsidRDefault="002C5407" w:rsidP="002C5407">
          <w:pPr>
            <w:pStyle w:val="55BB0616A051403A8D78B249F34F187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D537AC867974858B7E002286BC04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AE45-EBD2-4BEB-9BF4-7C21EE35A5D5}"/>
      </w:docPartPr>
      <w:docPartBody>
        <w:p w:rsidR="00000000" w:rsidRDefault="001E2A37"/>
      </w:docPartBody>
    </w:docPart>
    <w:docPart>
      <w:docPartPr>
        <w:name w:val="A67C934952B74983A57162938765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C05D-C57E-4DBC-8CB4-D67D1088339C}"/>
      </w:docPartPr>
      <w:docPartBody>
        <w:p w:rsidR="00000000" w:rsidRDefault="001E2A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E2A37"/>
    <w:rsid w:val="00280096"/>
    <w:rsid w:val="00290C4E"/>
    <w:rsid w:val="002A4665"/>
    <w:rsid w:val="002A5E86"/>
    <w:rsid w:val="002C5407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40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C540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C540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C540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B9F5B15D110483EB7E716A50AF5BB23">
    <w:name w:val="6B9F5B15D110483EB7E716A50AF5BB23"/>
    <w:rsid w:val="002C5407"/>
    <w:pPr>
      <w:spacing w:after="160" w:line="259" w:lineRule="auto"/>
    </w:pPr>
  </w:style>
  <w:style w:type="paragraph" w:customStyle="1" w:styleId="55BB0616A051403A8D78B249F34F1879">
    <w:name w:val="55BB0616A051403A8D78B249F34F1879"/>
    <w:rsid w:val="002C54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E7DD06A-D172-40C4-AE01-6C902040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574</Words>
  <Characters>3273</Characters>
  <Application>Microsoft Office Word</Application>
  <DocSecurity>0</DocSecurity>
  <Lines>27</Lines>
  <Paragraphs>7</Paragraphs>
  <ScaleCrop>false</ScaleCrop>
  <Company>Texas Legislative Council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2019-05-01T23:52:00Z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