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433E2" w:rsidTr="00345119">
        <w:tc>
          <w:tcPr>
            <w:tcW w:w="9576" w:type="dxa"/>
            <w:noWrap/>
          </w:tcPr>
          <w:p w:rsidR="008423E4" w:rsidRPr="0022177D" w:rsidRDefault="0069618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6184" w:rsidP="008423E4">
      <w:pPr>
        <w:jc w:val="center"/>
      </w:pPr>
    </w:p>
    <w:p w:rsidR="008423E4" w:rsidRPr="00B31F0E" w:rsidRDefault="00696184" w:rsidP="008423E4"/>
    <w:p w:rsidR="008423E4" w:rsidRPr="00742794" w:rsidRDefault="0069618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33E2" w:rsidTr="00345119">
        <w:tc>
          <w:tcPr>
            <w:tcW w:w="9576" w:type="dxa"/>
          </w:tcPr>
          <w:p w:rsidR="008423E4" w:rsidRPr="00861995" w:rsidRDefault="00696184" w:rsidP="00345119">
            <w:pPr>
              <w:jc w:val="right"/>
            </w:pPr>
            <w:r>
              <w:t>C.S.H.B. 2694</w:t>
            </w:r>
          </w:p>
        </w:tc>
      </w:tr>
      <w:tr w:rsidR="00B433E2" w:rsidTr="00345119">
        <w:tc>
          <w:tcPr>
            <w:tcW w:w="9576" w:type="dxa"/>
          </w:tcPr>
          <w:p w:rsidR="008423E4" w:rsidRPr="00861995" w:rsidRDefault="00696184" w:rsidP="00783CC5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B433E2" w:rsidTr="00345119">
        <w:tc>
          <w:tcPr>
            <w:tcW w:w="9576" w:type="dxa"/>
          </w:tcPr>
          <w:p w:rsidR="008423E4" w:rsidRPr="00861995" w:rsidRDefault="00696184" w:rsidP="00345119">
            <w:pPr>
              <w:jc w:val="right"/>
            </w:pPr>
            <w:r>
              <w:t>Insurance</w:t>
            </w:r>
          </w:p>
        </w:tc>
      </w:tr>
      <w:tr w:rsidR="00B433E2" w:rsidTr="00345119">
        <w:tc>
          <w:tcPr>
            <w:tcW w:w="9576" w:type="dxa"/>
          </w:tcPr>
          <w:p w:rsidR="008423E4" w:rsidRDefault="0069618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96184" w:rsidP="008423E4">
      <w:pPr>
        <w:tabs>
          <w:tab w:val="right" w:pos="9360"/>
        </w:tabs>
      </w:pPr>
    </w:p>
    <w:p w:rsidR="008423E4" w:rsidRDefault="00696184" w:rsidP="008423E4"/>
    <w:p w:rsidR="008423E4" w:rsidRDefault="0069618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433E2" w:rsidTr="00345119">
        <w:tc>
          <w:tcPr>
            <w:tcW w:w="9576" w:type="dxa"/>
          </w:tcPr>
          <w:p w:rsidR="008423E4" w:rsidRPr="00A8133F" w:rsidRDefault="00696184" w:rsidP="005D32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6184" w:rsidP="005D3243"/>
          <w:p w:rsidR="008423E4" w:rsidRDefault="00696184" w:rsidP="005D3243">
            <w:pPr>
              <w:pStyle w:val="Header"/>
              <w:jc w:val="both"/>
            </w:pPr>
            <w:r>
              <w:t xml:space="preserve">There have been calls to allow </w:t>
            </w:r>
            <w:r>
              <w:t xml:space="preserve">certain insurers </w:t>
            </w:r>
            <w:r>
              <w:t xml:space="preserve">to invest funds in excess of minimum capital and surplus in shares of bond </w:t>
            </w:r>
            <w:r>
              <w:t>exchange-traded fund</w:t>
            </w:r>
            <w:r>
              <w:t xml:space="preserve">s. </w:t>
            </w:r>
            <w:r>
              <w:t>C.S.</w:t>
            </w:r>
            <w:r>
              <w:t xml:space="preserve">H.B. 2694 seeks to address this issue by </w:t>
            </w:r>
            <w:r>
              <w:t>providing such an authorization, under certain conditions, with respect to investments in</w:t>
            </w:r>
            <w:r>
              <w:t xml:space="preserve"> a bond exchange-traded fund registered under the federal Investment Company Act of </w:t>
            </w:r>
            <w:r w:rsidRPr="006D2CD7">
              <w:t>1940</w:t>
            </w:r>
            <w:r>
              <w:t xml:space="preserve">. </w:t>
            </w:r>
          </w:p>
          <w:p w:rsidR="008423E4" w:rsidRPr="001807D1" w:rsidRDefault="00696184" w:rsidP="005D3243">
            <w:pPr>
              <w:rPr>
                <w:b/>
                <w:sz w:val="22"/>
              </w:rPr>
            </w:pPr>
          </w:p>
        </w:tc>
      </w:tr>
      <w:tr w:rsidR="00B433E2" w:rsidTr="00345119">
        <w:tc>
          <w:tcPr>
            <w:tcW w:w="9576" w:type="dxa"/>
          </w:tcPr>
          <w:p w:rsidR="0017725B" w:rsidRDefault="00696184" w:rsidP="005D32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Pr="001807D1" w:rsidRDefault="00696184" w:rsidP="005D3243">
            <w:pPr>
              <w:rPr>
                <w:b/>
                <w:sz w:val="22"/>
                <w:u w:val="single"/>
              </w:rPr>
            </w:pPr>
          </w:p>
          <w:p w:rsidR="00963644" w:rsidRPr="00963644" w:rsidRDefault="00696184" w:rsidP="005D324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807D1" w:rsidRDefault="00696184" w:rsidP="005D3243">
            <w:pPr>
              <w:rPr>
                <w:b/>
                <w:sz w:val="22"/>
                <w:u w:val="single"/>
              </w:rPr>
            </w:pPr>
          </w:p>
        </w:tc>
      </w:tr>
      <w:tr w:rsidR="00B433E2" w:rsidTr="00345119">
        <w:tc>
          <w:tcPr>
            <w:tcW w:w="9576" w:type="dxa"/>
          </w:tcPr>
          <w:p w:rsidR="008423E4" w:rsidRPr="00A8133F" w:rsidRDefault="00696184" w:rsidP="005D32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1807D1" w:rsidRDefault="00696184" w:rsidP="005D3243">
            <w:pPr>
              <w:rPr>
                <w:sz w:val="22"/>
              </w:rPr>
            </w:pPr>
          </w:p>
          <w:p w:rsidR="00963644" w:rsidRDefault="00696184" w:rsidP="005D32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1807D1" w:rsidRDefault="00696184" w:rsidP="005D3243">
            <w:pPr>
              <w:rPr>
                <w:b/>
                <w:sz w:val="22"/>
              </w:rPr>
            </w:pPr>
          </w:p>
        </w:tc>
      </w:tr>
      <w:tr w:rsidR="00B433E2" w:rsidTr="00345119">
        <w:tc>
          <w:tcPr>
            <w:tcW w:w="9576" w:type="dxa"/>
          </w:tcPr>
          <w:p w:rsidR="008423E4" w:rsidRPr="00A8133F" w:rsidRDefault="00696184" w:rsidP="005D32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1807D1" w:rsidRDefault="00696184" w:rsidP="005D3243">
            <w:pPr>
              <w:rPr>
                <w:sz w:val="22"/>
              </w:rPr>
            </w:pPr>
          </w:p>
          <w:p w:rsidR="000D23C0" w:rsidRDefault="00696184" w:rsidP="005D3243">
            <w:pPr>
              <w:pStyle w:val="Header"/>
              <w:jc w:val="both"/>
            </w:pPr>
            <w:r>
              <w:t>C.S.</w:t>
            </w:r>
            <w:r>
              <w:t>H.B. 2694</w:t>
            </w:r>
            <w:r>
              <w:t xml:space="preserve"> amends </w:t>
            </w:r>
            <w:r>
              <w:t xml:space="preserve">the Insurance Code to authorize </w:t>
            </w:r>
            <w:r>
              <w:t xml:space="preserve">certain </w:t>
            </w:r>
            <w:r>
              <w:t xml:space="preserve">insurers </w:t>
            </w:r>
            <w:r>
              <w:t>and</w:t>
            </w:r>
            <w:r>
              <w:t xml:space="preserve"> </w:t>
            </w:r>
            <w:r w:rsidRPr="00C2246D">
              <w:t>insurance companies</w:t>
            </w:r>
            <w:r>
              <w:t xml:space="preserve"> to invest funds </w:t>
            </w:r>
            <w:r>
              <w:t xml:space="preserve">in excess of minimum capital and surplus in shares of a bond exchange-traded fund </w:t>
            </w:r>
            <w:r>
              <w:t>registered as an investment company</w:t>
            </w:r>
            <w:r>
              <w:t xml:space="preserve"> under the federal Investment Company Act of </w:t>
            </w:r>
            <w:r w:rsidRPr="006D2CD7">
              <w:t>1940</w:t>
            </w:r>
            <w:r>
              <w:t>,</w:t>
            </w:r>
            <w:r>
              <w:t xml:space="preserve"> as amended,</w:t>
            </w:r>
            <w:r>
              <w:t xml:space="preserve"> that has a principal investment strategy of investing primarily in bonds, loans, or other debt instruments,</w:t>
            </w:r>
            <w:r>
              <w:t xml:space="preserve"> </w:t>
            </w:r>
            <w:r>
              <w:t>if the</w:t>
            </w:r>
            <w:r>
              <w:t xml:space="preserve"> following conditions are met:</w:t>
            </w:r>
          </w:p>
          <w:p w:rsidR="000D23C0" w:rsidRDefault="00696184" w:rsidP="005D324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</w:t>
            </w:r>
            <w:r>
              <w:t>exchange-traded fund is solvent and reported at least $1</w:t>
            </w:r>
            <w:r>
              <w:t>0</w:t>
            </w:r>
            <w:r>
              <w:t xml:space="preserve"> million of net assets in the fund's </w:t>
            </w:r>
            <w:r>
              <w:t>latest annual or more recent certified audited financial statement;</w:t>
            </w:r>
          </w:p>
          <w:p w:rsidR="000D23C0" w:rsidRDefault="00696184" w:rsidP="005D324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exchange-traded fund</w:t>
            </w:r>
            <w:r>
              <w:t xml:space="preserve"> is</w:t>
            </w:r>
            <w:r>
              <w:t xml:space="preserve"> eligible for reporting as a long-term bond </w:t>
            </w:r>
            <w:r>
              <w:t>in the Purposes and Procedures Manual of the securities valuation office or a successor publication</w:t>
            </w:r>
            <w:r>
              <w:t>; and</w:t>
            </w:r>
          </w:p>
          <w:p w:rsidR="000D23C0" w:rsidRDefault="00696184" w:rsidP="001807D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amount o</w:t>
            </w:r>
            <w:r>
              <w:t>f the insurer's</w:t>
            </w:r>
            <w:r>
              <w:t xml:space="preserve"> </w:t>
            </w:r>
            <w:r>
              <w:t>investment in the exchange-traded fund does not exceed 15 percent of the insurer's</w:t>
            </w:r>
            <w:r>
              <w:t xml:space="preserve"> funds in excess of minimum</w:t>
            </w:r>
            <w:r>
              <w:t xml:space="preserve"> capital and surplus</w:t>
            </w:r>
            <w:r>
              <w:t xml:space="preserve"> </w:t>
            </w:r>
            <w:r>
              <w:t xml:space="preserve">or, in the case of an insurance company, </w:t>
            </w:r>
            <w:r>
              <w:t>the amount of the insurance company's investment in the exchange-trad</w:t>
            </w:r>
            <w:r>
              <w:t>ed fund</w:t>
            </w:r>
            <w:r>
              <w:t>, in aggregate,</w:t>
            </w:r>
            <w:r>
              <w:t xml:space="preserve"> does not exceed </w:t>
            </w:r>
            <w:r>
              <w:t>five percent of the company's assets</w:t>
            </w:r>
            <w:r>
              <w:t xml:space="preserve">. </w:t>
            </w:r>
          </w:p>
          <w:p w:rsidR="002877E5" w:rsidRPr="001807D1" w:rsidRDefault="00696184" w:rsidP="005D3243">
            <w:pPr>
              <w:pStyle w:val="Header"/>
              <w:jc w:val="both"/>
              <w:rPr>
                <w:sz w:val="22"/>
              </w:rPr>
            </w:pPr>
          </w:p>
          <w:p w:rsidR="00910B28" w:rsidRDefault="00696184" w:rsidP="005D3243">
            <w:pPr>
              <w:pStyle w:val="Header"/>
              <w:jc w:val="both"/>
            </w:pPr>
            <w:r>
              <w:t>C.S.</w:t>
            </w:r>
            <w:r>
              <w:t>H.B. 2694</w:t>
            </w:r>
            <w:r>
              <w:t xml:space="preserve"> authorizes </w:t>
            </w:r>
            <w:r>
              <w:t>the insurer or the insurance company</w:t>
            </w:r>
            <w:r>
              <w:t xml:space="preserve"> to deposit with the Texas Department of Insurance</w:t>
            </w:r>
            <w:r>
              <w:t xml:space="preserve"> shares of a bond exchange-traded fund as a statutory deposit if</w:t>
            </w:r>
            <w:r>
              <w:t xml:space="preserve"> required by</w:t>
            </w:r>
            <w:r>
              <w:t xml:space="preserve"> state law.</w:t>
            </w:r>
            <w:r>
              <w:t xml:space="preserve"> </w:t>
            </w:r>
            <w:r>
              <w:t xml:space="preserve">Each </w:t>
            </w:r>
            <w:r>
              <w:t>bond exchange-traded fund</w:t>
            </w:r>
            <w:r>
              <w:t xml:space="preserve"> is considered</w:t>
            </w:r>
            <w:r>
              <w:t xml:space="preserve"> a</w:t>
            </w:r>
            <w:r>
              <w:t xml:space="preserve"> separate issuer of shares and a</w:t>
            </w:r>
            <w:r>
              <w:t xml:space="preserve"> business entity for purposes of statutory </w:t>
            </w:r>
            <w:r>
              <w:t xml:space="preserve">limits on </w:t>
            </w:r>
            <w:r>
              <w:t>authorized investments in</w:t>
            </w:r>
            <w:r>
              <w:t xml:space="preserve"> the obligations of </w:t>
            </w:r>
            <w:r>
              <w:t>business</w:t>
            </w:r>
            <w:r>
              <w:t xml:space="preserve"> entities by certain </w:t>
            </w:r>
            <w:r w:rsidRPr="00562C55">
              <w:t>insurance companies</w:t>
            </w:r>
            <w:r>
              <w:t>.</w:t>
            </w:r>
            <w:r>
              <w:t xml:space="preserve"> The bi</w:t>
            </w:r>
            <w:r>
              <w:t xml:space="preserve">ll authorizes </w:t>
            </w:r>
            <w:r>
              <w:t>an insurer</w:t>
            </w:r>
            <w:r>
              <w:t xml:space="preserve">, subject to </w:t>
            </w:r>
            <w:r>
              <w:t>applicable</w:t>
            </w:r>
            <w:r>
              <w:t xml:space="preserve"> </w:t>
            </w:r>
            <w:r>
              <w:t>aggregate diversification requirements</w:t>
            </w:r>
            <w:r>
              <w:t xml:space="preserve">, to invest any of the </w:t>
            </w:r>
            <w:r>
              <w:t>insurer's</w:t>
            </w:r>
            <w:r>
              <w:t xml:space="preserve"> funds and accumulations in a bond exchange-traded fund.</w:t>
            </w:r>
          </w:p>
          <w:p w:rsidR="005D3243" w:rsidRPr="00545799" w:rsidRDefault="00696184" w:rsidP="005D3243">
            <w:pPr>
              <w:pStyle w:val="Header"/>
              <w:jc w:val="both"/>
            </w:pPr>
          </w:p>
        </w:tc>
      </w:tr>
      <w:tr w:rsidR="00B433E2" w:rsidTr="00345119">
        <w:tc>
          <w:tcPr>
            <w:tcW w:w="9576" w:type="dxa"/>
          </w:tcPr>
          <w:p w:rsidR="008423E4" w:rsidRPr="00A8133F" w:rsidRDefault="00696184" w:rsidP="005D32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6184" w:rsidP="005D3243"/>
          <w:p w:rsidR="00CC551C" w:rsidRPr="00233FDB" w:rsidRDefault="00696184" w:rsidP="005D32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  <w:tr w:rsidR="00B433E2" w:rsidTr="00345119">
        <w:tc>
          <w:tcPr>
            <w:tcW w:w="9576" w:type="dxa"/>
          </w:tcPr>
          <w:p w:rsidR="00783CC5" w:rsidRDefault="00696184" w:rsidP="005D324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877E5" w:rsidRDefault="00696184" w:rsidP="005D3243">
            <w:pPr>
              <w:jc w:val="both"/>
            </w:pPr>
          </w:p>
          <w:p w:rsidR="002877E5" w:rsidRDefault="00696184" w:rsidP="005D3243">
            <w:pPr>
              <w:jc w:val="both"/>
            </w:pPr>
            <w:r>
              <w:t>While C.S.H.B. 2694 may differ from the original in minor or nonsubstantive ways, the following summarizes the substantial differences between the introduced and committee substitute versions of the bill.</w:t>
            </w:r>
          </w:p>
          <w:p w:rsidR="004857A7" w:rsidRDefault="00696184" w:rsidP="005D3243">
            <w:pPr>
              <w:jc w:val="both"/>
            </w:pPr>
          </w:p>
          <w:p w:rsidR="002877E5" w:rsidRDefault="00696184" w:rsidP="005D3243">
            <w:pPr>
              <w:jc w:val="both"/>
            </w:pPr>
            <w:r>
              <w:t xml:space="preserve">The substitute revises the conditions under which </w:t>
            </w:r>
            <w:r>
              <w:t>an insurer or insurance company may invest its funds in shares of a bond exchange-traded fund.</w:t>
            </w:r>
          </w:p>
          <w:p w:rsidR="004857A7" w:rsidRDefault="00696184" w:rsidP="005D3243">
            <w:pPr>
              <w:jc w:val="both"/>
            </w:pPr>
          </w:p>
          <w:p w:rsidR="002877E5" w:rsidRDefault="00696184" w:rsidP="005D3243">
            <w:pPr>
              <w:jc w:val="both"/>
            </w:pPr>
            <w:r>
              <w:t>The substitute includes:</w:t>
            </w:r>
          </w:p>
          <w:p w:rsidR="002877E5" w:rsidRDefault="00696184" w:rsidP="005D324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a definition of "bond exchange-traded fund</w:t>
            </w:r>
            <w:r>
              <w:t>,</w:t>
            </w:r>
            <w:r>
              <w:t xml:space="preserve">" </w:t>
            </w:r>
            <w:r>
              <w:t>which specifies that the fund has a principal investment strategy of investing primarily i</w:t>
            </w:r>
            <w:r>
              <w:t>n bonds, loans, or other debt instruments;</w:t>
            </w:r>
          </w:p>
          <w:p w:rsidR="00416161" w:rsidRDefault="00696184" w:rsidP="005D324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an </w:t>
            </w:r>
            <w:r>
              <w:t>authoriz</w:t>
            </w:r>
            <w:r>
              <w:t>ation for</w:t>
            </w:r>
            <w:r>
              <w:t xml:space="preserve"> </w:t>
            </w:r>
            <w:r>
              <w:t>an insurer</w:t>
            </w:r>
            <w:r>
              <w:t xml:space="preserve">, subject to aggregate diversification requirements, to invest any </w:t>
            </w:r>
            <w:r>
              <w:t xml:space="preserve">of its </w:t>
            </w:r>
            <w:r>
              <w:t>funds and accumulations in a bond exchange-traded fund</w:t>
            </w:r>
            <w:r>
              <w:t>;</w:t>
            </w:r>
            <w:r>
              <w:t xml:space="preserve"> and</w:t>
            </w:r>
          </w:p>
          <w:p w:rsidR="002877E5" w:rsidRPr="002877E5" w:rsidRDefault="00696184" w:rsidP="005D324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a requirement for each bond exchange-traded fund</w:t>
            </w:r>
            <w:r>
              <w:t xml:space="preserve"> in which an insurance company invest</w:t>
            </w:r>
            <w:r>
              <w:t>s</w:t>
            </w:r>
            <w:r>
              <w:t xml:space="preserve"> </w:t>
            </w:r>
            <w:r>
              <w:t>its</w:t>
            </w:r>
            <w:r>
              <w:t xml:space="preserve"> funds to be considered a separate issuer of shares</w:t>
            </w:r>
            <w:r>
              <w:t>.</w:t>
            </w:r>
          </w:p>
        </w:tc>
      </w:tr>
      <w:tr w:rsidR="00B433E2" w:rsidTr="00345119">
        <w:tc>
          <w:tcPr>
            <w:tcW w:w="9576" w:type="dxa"/>
          </w:tcPr>
          <w:p w:rsidR="00783CC5" w:rsidRPr="009C1E9A" w:rsidRDefault="00696184" w:rsidP="005D3243">
            <w:pPr>
              <w:rPr>
                <w:b/>
                <w:u w:val="single"/>
              </w:rPr>
            </w:pPr>
          </w:p>
        </w:tc>
      </w:tr>
      <w:tr w:rsidR="00B433E2" w:rsidTr="00345119">
        <w:tc>
          <w:tcPr>
            <w:tcW w:w="9576" w:type="dxa"/>
          </w:tcPr>
          <w:p w:rsidR="00783CC5" w:rsidRPr="00783CC5" w:rsidRDefault="00696184" w:rsidP="005D3243">
            <w:pPr>
              <w:jc w:val="both"/>
            </w:pPr>
          </w:p>
        </w:tc>
      </w:tr>
    </w:tbl>
    <w:p w:rsidR="004108C3" w:rsidRPr="008423E4" w:rsidRDefault="0069618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6184">
      <w:r>
        <w:separator/>
      </w:r>
    </w:p>
  </w:endnote>
  <w:endnote w:type="continuationSeparator" w:id="0">
    <w:p w:rsidR="00000000" w:rsidRDefault="0069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6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33E2" w:rsidTr="009C1E9A">
      <w:trPr>
        <w:cantSplit/>
      </w:trPr>
      <w:tc>
        <w:tcPr>
          <w:tcW w:w="0" w:type="pct"/>
        </w:tcPr>
        <w:p w:rsidR="00137D90" w:rsidRDefault="006961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61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61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61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61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33E2" w:rsidTr="009C1E9A">
      <w:trPr>
        <w:cantSplit/>
      </w:trPr>
      <w:tc>
        <w:tcPr>
          <w:tcW w:w="0" w:type="pct"/>
        </w:tcPr>
        <w:p w:rsidR="00EC379B" w:rsidRDefault="006961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61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26449</w:t>
          </w:r>
        </w:p>
      </w:tc>
      <w:tc>
        <w:tcPr>
          <w:tcW w:w="2453" w:type="pct"/>
        </w:tcPr>
        <w:p w:rsidR="00EC379B" w:rsidRDefault="006961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19.101.778</w:t>
          </w:r>
          <w:r>
            <w:fldChar w:fldCharType="end"/>
          </w:r>
        </w:p>
      </w:tc>
    </w:tr>
    <w:tr w:rsidR="00B433E2" w:rsidTr="009C1E9A">
      <w:trPr>
        <w:cantSplit/>
      </w:trPr>
      <w:tc>
        <w:tcPr>
          <w:tcW w:w="0" w:type="pct"/>
        </w:tcPr>
        <w:p w:rsidR="00EC379B" w:rsidRDefault="006961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61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19708</w:t>
          </w:r>
        </w:p>
      </w:tc>
      <w:tc>
        <w:tcPr>
          <w:tcW w:w="2453" w:type="pct"/>
        </w:tcPr>
        <w:p w:rsidR="00EC379B" w:rsidRDefault="00696184" w:rsidP="006D504F">
          <w:pPr>
            <w:pStyle w:val="Footer"/>
            <w:rPr>
              <w:rStyle w:val="PageNumber"/>
            </w:rPr>
          </w:pPr>
        </w:p>
        <w:p w:rsidR="00EC379B" w:rsidRDefault="006961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33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61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9618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618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6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6184">
      <w:r>
        <w:separator/>
      </w:r>
    </w:p>
  </w:footnote>
  <w:footnote w:type="continuationSeparator" w:id="0">
    <w:p w:rsidR="00000000" w:rsidRDefault="0069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6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6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6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6CE"/>
    <w:multiLevelType w:val="hybridMultilevel"/>
    <w:tmpl w:val="3FC84B58"/>
    <w:lvl w:ilvl="0" w:tplc="17405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0B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CB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01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88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85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4E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88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AA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5020"/>
    <w:multiLevelType w:val="hybridMultilevel"/>
    <w:tmpl w:val="44ACDBAA"/>
    <w:lvl w:ilvl="0" w:tplc="E3C0D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8A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E1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E2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EA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41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22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40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03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1803"/>
    <w:multiLevelType w:val="hybridMultilevel"/>
    <w:tmpl w:val="DDAA5086"/>
    <w:lvl w:ilvl="0" w:tplc="3E522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8B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43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0A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4E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A4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6E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C5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8F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06C9"/>
    <w:multiLevelType w:val="hybridMultilevel"/>
    <w:tmpl w:val="0FDCE276"/>
    <w:lvl w:ilvl="0" w:tplc="F000D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2E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AD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AE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41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65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8E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8F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65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922CC"/>
    <w:multiLevelType w:val="hybridMultilevel"/>
    <w:tmpl w:val="698203E0"/>
    <w:lvl w:ilvl="0" w:tplc="EC5AD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84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A4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04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60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E07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00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A4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325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E2"/>
    <w:rsid w:val="00696184"/>
    <w:rsid w:val="00B4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972463-6FF0-4142-A0C1-BA830E40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2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2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24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246D"/>
    <w:rPr>
      <w:b/>
      <w:bCs/>
    </w:rPr>
  </w:style>
  <w:style w:type="paragraph" w:styleId="Revision">
    <w:name w:val="Revision"/>
    <w:hidden/>
    <w:uiPriority w:val="99"/>
    <w:semiHidden/>
    <w:rsid w:val="009014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3085</Characters>
  <Application>Microsoft Office Word</Application>
  <DocSecurity>4</DocSecurity>
  <Lines>74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HB02694 (Committee Report (Substituted))</vt:lpstr>
    </vt:vector>
  </TitlesOfParts>
  <Company>State of Texas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26449</dc:subject>
  <dc:creator>State of Texas</dc:creator>
  <dc:description>HB 2694 by Lucio III-(H)Insurance (Substitute Document Number: 86R 19708)</dc:description>
  <cp:lastModifiedBy>Erin Conway</cp:lastModifiedBy>
  <cp:revision>2</cp:revision>
  <cp:lastPrinted>2003-11-26T17:21:00Z</cp:lastPrinted>
  <dcterms:created xsi:type="dcterms:W3CDTF">2019-04-16T01:40:00Z</dcterms:created>
  <dcterms:modified xsi:type="dcterms:W3CDTF">2019-04-16T01:40:00Z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19.101.778</vt:lpwstr>
  </property>
</Properties>
</file>