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0E" w:rsidRDefault="004C770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94D1A5B9BA546FAA4769CFD4B2FAC7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C770E" w:rsidRPr="00585C31" w:rsidRDefault="004C770E" w:rsidP="000F1DF9">
      <w:pPr>
        <w:spacing w:after="0" w:line="240" w:lineRule="auto"/>
        <w:rPr>
          <w:rFonts w:cs="Times New Roman"/>
          <w:szCs w:val="24"/>
        </w:rPr>
      </w:pPr>
    </w:p>
    <w:p w:rsidR="004C770E" w:rsidRPr="00585C31" w:rsidRDefault="004C770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C770E" w:rsidTr="000F1DF9">
        <w:tc>
          <w:tcPr>
            <w:tcW w:w="2718" w:type="dxa"/>
          </w:tcPr>
          <w:p w:rsidR="004C770E" w:rsidRPr="005C2A78" w:rsidRDefault="004C770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FEA68B4E16A42F9A014A7C8ABD16BE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C770E" w:rsidRPr="00FF6471" w:rsidRDefault="004C770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C00C786AAAB471FB80450B5650EDE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2694</w:t>
                </w:r>
              </w:sdtContent>
            </w:sdt>
          </w:p>
        </w:tc>
      </w:tr>
      <w:tr w:rsidR="004C770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028C40EDE844D4D90D0CA6E763410B4"/>
            </w:placeholder>
          </w:sdtPr>
          <w:sdtContent>
            <w:tc>
              <w:tcPr>
                <w:tcW w:w="2718" w:type="dxa"/>
              </w:tcPr>
              <w:p w:rsidR="004C770E" w:rsidRPr="000F1DF9" w:rsidRDefault="004C770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86R29553 JES-F</w:t>
                </w:r>
              </w:p>
            </w:tc>
          </w:sdtContent>
        </w:sdt>
        <w:tc>
          <w:tcPr>
            <w:tcW w:w="6858" w:type="dxa"/>
          </w:tcPr>
          <w:p w:rsidR="004C770E" w:rsidRPr="005C2A78" w:rsidRDefault="004C770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81C4C75D9C845BB8E49493683B4EB2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55EAB73E2A34E948CF1E142E24734A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 III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001B13F7C1A4BA0A8EBA202F67807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4C770E" w:rsidTr="000F1DF9">
        <w:tc>
          <w:tcPr>
            <w:tcW w:w="2718" w:type="dxa"/>
          </w:tcPr>
          <w:p w:rsidR="004C770E" w:rsidRPr="00BC7495" w:rsidRDefault="004C77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51076AC9E6A48608E3A51EBC883591F"/>
            </w:placeholder>
          </w:sdtPr>
          <w:sdtContent>
            <w:tc>
              <w:tcPr>
                <w:tcW w:w="6858" w:type="dxa"/>
              </w:tcPr>
              <w:p w:rsidR="004C770E" w:rsidRPr="00FF6471" w:rsidRDefault="004C77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4C770E" w:rsidTr="000F1DF9">
        <w:tc>
          <w:tcPr>
            <w:tcW w:w="2718" w:type="dxa"/>
          </w:tcPr>
          <w:p w:rsidR="004C770E" w:rsidRPr="00BC7495" w:rsidRDefault="004C77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FFE8986975B47A59480C58F78E03C48"/>
            </w:placeholder>
            <w:date w:fullDate="2019-05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C770E" w:rsidRPr="00FF6471" w:rsidRDefault="004C77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5/9/2019</w:t>
                </w:r>
              </w:p>
            </w:tc>
          </w:sdtContent>
        </w:sdt>
      </w:tr>
      <w:tr w:rsidR="004C770E" w:rsidTr="000F1DF9">
        <w:tc>
          <w:tcPr>
            <w:tcW w:w="2718" w:type="dxa"/>
          </w:tcPr>
          <w:p w:rsidR="004C770E" w:rsidRPr="00BC7495" w:rsidRDefault="004C77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1E020919ED34AB48387EBC76E06BB59"/>
            </w:placeholder>
          </w:sdtPr>
          <w:sdtContent>
            <w:tc>
              <w:tcPr>
                <w:tcW w:w="6858" w:type="dxa"/>
              </w:tcPr>
              <w:p w:rsidR="004C770E" w:rsidRPr="00FF6471" w:rsidRDefault="004C77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4C770E" w:rsidRPr="00FF6471" w:rsidRDefault="004C770E" w:rsidP="000F1DF9">
      <w:pPr>
        <w:spacing w:after="0" w:line="240" w:lineRule="auto"/>
        <w:rPr>
          <w:rFonts w:cs="Times New Roman"/>
          <w:szCs w:val="24"/>
        </w:rPr>
      </w:pPr>
    </w:p>
    <w:p w:rsidR="004C770E" w:rsidRPr="00FF6471" w:rsidRDefault="004C770E" w:rsidP="000F1DF9">
      <w:pPr>
        <w:spacing w:after="0" w:line="240" w:lineRule="auto"/>
        <w:rPr>
          <w:rFonts w:cs="Times New Roman"/>
          <w:szCs w:val="24"/>
        </w:rPr>
      </w:pPr>
    </w:p>
    <w:p w:rsidR="004C770E" w:rsidRPr="00FF6471" w:rsidRDefault="004C770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0FF05A1100446B382AEB1627EF55F93"/>
        </w:placeholder>
      </w:sdtPr>
      <w:sdtContent>
        <w:p w:rsidR="004C770E" w:rsidRDefault="004C770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DD8A7BDAE2747B6911CDC05034D5AE2"/>
        </w:placeholder>
      </w:sdtPr>
      <w:sdtEndPr>
        <w:rPr>
          <w:rFonts w:cs="Times New Roman"/>
          <w:szCs w:val="24"/>
        </w:rPr>
      </w:sdtEndPr>
      <w:sdtContent>
        <w:p w:rsidR="004C770E" w:rsidRDefault="004C770E" w:rsidP="004C770E">
          <w:pPr>
            <w:pStyle w:val="NormalWeb"/>
            <w:spacing w:before="0" w:beforeAutospacing="0" w:after="0" w:afterAutospacing="0"/>
            <w:jc w:val="both"/>
            <w:divId w:val="1424451328"/>
            <w:rPr>
              <w:rFonts w:eastAsia="Times New Roman" w:cstheme="minorBidi"/>
              <w:bCs/>
              <w:szCs w:val="22"/>
            </w:rPr>
          </w:pPr>
        </w:p>
        <w:p w:rsidR="004C770E" w:rsidRPr="00D70925" w:rsidRDefault="004C770E" w:rsidP="004C770E">
          <w:pPr>
            <w:pStyle w:val="NormalWeb"/>
            <w:spacing w:before="0" w:beforeAutospacing="0" w:after="0" w:afterAutospacing="0"/>
            <w:jc w:val="both"/>
            <w:divId w:val="1424451328"/>
            <w:rPr>
              <w:rFonts w:eastAsia="Times New Roman"/>
              <w:bCs/>
            </w:rPr>
          </w:pPr>
          <w:r>
            <w:rPr>
              <w:rFonts w:eastAsia="Times New Roman" w:cstheme="minorBidi"/>
              <w:bCs/>
              <w:szCs w:val="22"/>
            </w:rPr>
            <w:t>C.S.H.B. 2694 amends current law r</w:t>
          </w:r>
          <w:r w:rsidRPr="004C770E">
            <w:rPr>
              <w:rFonts w:eastAsia="Times New Roman" w:cstheme="minorBidi"/>
              <w:bCs/>
              <w:szCs w:val="22"/>
            </w:rPr>
            <w:t>elating to the authority of certain insurers to make investments in bond exchange-traded funds.</w:t>
          </w:r>
        </w:p>
      </w:sdtContent>
    </w:sdt>
    <w:p w:rsidR="004C770E" w:rsidRPr="008A5DBB" w:rsidRDefault="004C770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4C770E" w:rsidRPr="005C2A78" w:rsidRDefault="004C770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527FF0BCB2146BD865122335450DAD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C770E" w:rsidRPr="006529C4" w:rsidRDefault="004C77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770E" w:rsidRPr="006529C4" w:rsidRDefault="004C770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C770E" w:rsidRPr="006529C4" w:rsidRDefault="004C77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770E" w:rsidRPr="005C2A78" w:rsidRDefault="004C770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EBDFB7D96524349A61068E65A83D64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C770E" w:rsidRPr="005C2A78" w:rsidRDefault="004C770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770E" w:rsidRDefault="004C770E" w:rsidP="00FF2245">
      <w:pPr>
        <w:spacing w:after="0" w:line="240" w:lineRule="auto"/>
        <w:jc w:val="both"/>
      </w:pPr>
      <w:r>
        <w:t xml:space="preserve">SECTION 1. Amends Subchapter B, Chapter 424, Insurance Code, by adding Section 424.075, as follows: </w:t>
      </w:r>
    </w:p>
    <w:p w:rsidR="004C770E" w:rsidRDefault="004C770E" w:rsidP="00FF2245">
      <w:pPr>
        <w:spacing w:after="0" w:line="240" w:lineRule="auto"/>
        <w:jc w:val="both"/>
      </w:pPr>
    </w:p>
    <w:p w:rsidR="004C770E" w:rsidRDefault="004C770E" w:rsidP="00FF2245">
      <w:pPr>
        <w:spacing w:after="0" w:line="240" w:lineRule="auto"/>
        <w:ind w:left="720"/>
        <w:jc w:val="both"/>
      </w:pPr>
      <w:r>
        <w:t xml:space="preserve">Sec. 424.075. AUTHORIZED INVESTMENTS: BOND EXCHANGE-TRADED FUNDS. (a) Authorizes an insurer to invest the insurer's funds in excess of minimum capital and surplus in shares of a bond exchange-traded fund registered under the Investment Company Act of 1940 (15 U.S.C. Section 80a-1 et seq.), as amended, if: </w:t>
      </w:r>
    </w:p>
    <w:p w:rsidR="004C770E" w:rsidRDefault="004C770E" w:rsidP="00FF2245">
      <w:pPr>
        <w:spacing w:after="0" w:line="240" w:lineRule="auto"/>
        <w:ind w:left="1440"/>
        <w:jc w:val="both"/>
      </w:pPr>
    </w:p>
    <w:p w:rsidR="004C770E" w:rsidRDefault="004C770E" w:rsidP="00FF2245">
      <w:pPr>
        <w:spacing w:after="0" w:line="240" w:lineRule="auto"/>
        <w:ind w:left="2160"/>
        <w:jc w:val="both"/>
      </w:pPr>
      <w:r>
        <w:t xml:space="preserve">(1) the exchange-traded fund is solvent and reported at least $100 million of net assets in the exchange-traded fund's latest annual or more recent certified audited financial statement; </w:t>
      </w:r>
    </w:p>
    <w:p w:rsidR="004C770E" w:rsidRDefault="004C770E" w:rsidP="00FF2245">
      <w:pPr>
        <w:spacing w:after="0" w:line="240" w:lineRule="auto"/>
        <w:ind w:left="2160"/>
        <w:jc w:val="both"/>
      </w:pPr>
    </w:p>
    <w:p w:rsidR="004C770E" w:rsidRDefault="004C770E" w:rsidP="00FF2245">
      <w:pPr>
        <w:spacing w:after="0" w:line="240" w:lineRule="auto"/>
        <w:ind w:left="2160"/>
        <w:jc w:val="both"/>
      </w:pPr>
      <w:r>
        <w:t xml:space="preserve">(2) the securities valuation office has designated the exchange-traded fund as meeting the criteria to be placed on the list promulgated by the securities valuation office of the National Association of Insurance Commissioners (Securities Valuation Office) of exchange-traded funds eligible for reporting as a statutory long-term bond obligations on Internal Revenue Service Form 1040, Schedule D; and </w:t>
      </w:r>
    </w:p>
    <w:p w:rsidR="004C770E" w:rsidRDefault="004C770E" w:rsidP="00FF2245">
      <w:pPr>
        <w:spacing w:after="0" w:line="240" w:lineRule="auto"/>
        <w:ind w:left="2160"/>
        <w:jc w:val="both"/>
      </w:pPr>
    </w:p>
    <w:p w:rsidR="004C770E" w:rsidRDefault="004C770E" w:rsidP="00FF2245">
      <w:pPr>
        <w:spacing w:after="0" w:line="240" w:lineRule="auto"/>
        <w:ind w:left="2160"/>
        <w:jc w:val="both"/>
      </w:pPr>
      <w:r>
        <w:t xml:space="preserve">(3) the amount of the insurer's investment in the exchange-traded fund does not exceed 15 percent of the insurer's capital and surplus. </w:t>
      </w:r>
    </w:p>
    <w:p w:rsidR="004C770E" w:rsidRDefault="004C770E" w:rsidP="00FF2245">
      <w:pPr>
        <w:spacing w:after="0" w:line="240" w:lineRule="auto"/>
        <w:ind w:left="2160"/>
        <w:jc w:val="both"/>
      </w:pPr>
    </w:p>
    <w:p w:rsidR="004C770E" w:rsidRDefault="004C770E" w:rsidP="00FF2245">
      <w:pPr>
        <w:spacing w:after="0" w:line="240" w:lineRule="auto"/>
        <w:ind w:left="1440"/>
        <w:jc w:val="both"/>
      </w:pPr>
      <w:r>
        <w:t>(b) Provides that this section does not authorize an insurer to invest in a bond exchange</w:t>
      </w:r>
      <w:r>
        <w:noBreakHyphen/>
        <w:t>traded fund that has:</w:t>
      </w:r>
    </w:p>
    <w:p w:rsidR="004C770E" w:rsidRDefault="004C770E" w:rsidP="00FF2245">
      <w:pPr>
        <w:spacing w:after="0" w:line="240" w:lineRule="auto"/>
        <w:ind w:left="1440"/>
        <w:jc w:val="both"/>
      </w:pPr>
    </w:p>
    <w:p w:rsidR="004C770E" w:rsidRDefault="004C770E" w:rsidP="00FF2245">
      <w:pPr>
        <w:spacing w:after="0" w:line="240" w:lineRule="auto"/>
        <w:ind w:left="2160"/>
        <w:jc w:val="both"/>
      </w:pPr>
      <w:r>
        <w:t>(1) embedded structural features designed to deliver performance that does not track the full unlevered and positive return of the underlying index or exposure, including a leveraged or inverse exchange</w:t>
      </w:r>
      <w:r>
        <w:noBreakHyphen/>
        <w:t>traded fund; or</w:t>
      </w:r>
    </w:p>
    <w:p w:rsidR="004C770E" w:rsidRDefault="004C770E" w:rsidP="00FF2245">
      <w:pPr>
        <w:spacing w:after="0" w:line="240" w:lineRule="auto"/>
        <w:ind w:left="2160"/>
        <w:jc w:val="both"/>
      </w:pPr>
    </w:p>
    <w:p w:rsidR="004C770E" w:rsidRDefault="004C770E" w:rsidP="00FF2245">
      <w:pPr>
        <w:spacing w:after="0" w:line="240" w:lineRule="auto"/>
        <w:ind w:left="2160"/>
        <w:jc w:val="both"/>
      </w:pPr>
      <w:r>
        <w:t xml:space="preserve">(2) an expense ratio in excess of 100 basis points. </w:t>
      </w:r>
    </w:p>
    <w:p w:rsidR="004C770E" w:rsidRDefault="004C770E" w:rsidP="00FF2245">
      <w:pPr>
        <w:spacing w:after="0" w:line="240" w:lineRule="auto"/>
        <w:ind w:left="2160"/>
        <w:jc w:val="both"/>
      </w:pPr>
    </w:p>
    <w:p w:rsidR="004C770E" w:rsidRDefault="004C770E" w:rsidP="00FF2245">
      <w:pPr>
        <w:spacing w:after="0" w:line="240" w:lineRule="auto"/>
        <w:ind w:left="1440"/>
        <w:jc w:val="both"/>
      </w:pPr>
      <w:r>
        <w:t xml:space="preserve">(c) Authorizes an insurer to deposit with the Texas Department of Insurance (TDI) shares of a bond exchange-traded fund described by Subsection (a) as a statutory deposit if state law requires a statutory deposit from the insurer. </w:t>
      </w:r>
    </w:p>
    <w:p w:rsidR="004C770E" w:rsidRDefault="004C770E" w:rsidP="00FF2245">
      <w:pPr>
        <w:spacing w:after="0" w:line="240" w:lineRule="auto"/>
        <w:ind w:left="1440"/>
        <w:jc w:val="both"/>
      </w:pPr>
    </w:p>
    <w:p w:rsidR="004C770E" w:rsidRDefault="004C770E" w:rsidP="00FF2245">
      <w:pPr>
        <w:spacing w:after="0" w:line="240" w:lineRule="auto"/>
        <w:jc w:val="both"/>
      </w:pPr>
      <w:r>
        <w:t xml:space="preserve">SECTION 2. Amends Subchapter C, Chapter 425, Insurance Code, by adding Section 425.1231, as follows: </w:t>
      </w:r>
    </w:p>
    <w:p w:rsidR="004C770E" w:rsidRDefault="004C770E" w:rsidP="00FF2245">
      <w:pPr>
        <w:spacing w:after="0" w:line="240" w:lineRule="auto"/>
        <w:jc w:val="both"/>
      </w:pPr>
    </w:p>
    <w:p w:rsidR="004C770E" w:rsidRDefault="004C770E" w:rsidP="00FF2245">
      <w:pPr>
        <w:spacing w:after="0" w:line="240" w:lineRule="auto"/>
        <w:ind w:left="720"/>
        <w:jc w:val="both"/>
      </w:pPr>
      <w:r>
        <w:t xml:space="preserve">Sec. 425.1231. AUTHORIZED INVESTMENTS: BOND EXCHANGE-TRADED FUNDS. (a) Authorizes an insurance company to invest the insurer's funds in excess of minimum capital and surplus in shares of a bond exchange-traded fund registered under the Investment Company Act of 1940 (15 U.S.C. Section 80a-1 et seq.), as amended, if: </w:t>
      </w:r>
    </w:p>
    <w:p w:rsidR="004C770E" w:rsidRDefault="004C770E" w:rsidP="00FF2245">
      <w:pPr>
        <w:spacing w:after="0" w:line="240" w:lineRule="auto"/>
        <w:ind w:left="1440"/>
        <w:jc w:val="both"/>
      </w:pPr>
    </w:p>
    <w:p w:rsidR="004C770E" w:rsidRDefault="004C770E" w:rsidP="00FF2245">
      <w:pPr>
        <w:spacing w:after="0" w:line="240" w:lineRule="auto"/>
        <w:ind w:left="2160"/>
        <w:jc w:val="both"/>
      </w:pPr>
      <w:r>
        <w:t>(1) the exchange-traded fund is solvent and reported at least $100 million of net assets in the exchange-traded fund's latest annual or more recent certified audited financial statement;</w:t>
      </w:r>
    </w:p>
    <w:p w:rsidR="004C770E" w:rsidRDefault="004C770E" w:rsidP="00FF2245">
      <w:pPr>
        <w:spacing w:after="0" w:line="240" w:lineRule="auto"/>
        <w:ind w:left="2160"/>
        <w:jc w:val="both"/>
      </w:pPr>
    </w:p>
    <w:p w:rsidR="004C770E" w:rsidRDefault="004C770E" w:rsidP="00FF2245">
      <w:pPr>
        <w:spacing w:after="0" w:line="240" w:lineRule="auto"/>
        <w:ind w:left="2160"/>
        <w:jc w:val="both"/>
      </w:pPr>
      <w:r>
        <w:t>(2) the securities valuation office has designated the exchange</w:t>
      </w:r>
      <w:r>
        <w:noBreakHyphen/>
        <w:t>traded fund as meeting the criteria to be placed on the list promulgated by the securities valuation office of exchange</w:t>
      </w:r>
      <w:r>
        <w:noBreakHyphen/>
        <w:t>traded funds eligible for reporting as a statutory long</w:t>
      </w:r>
      <w:r>
        <w:noBreakHyphen/>
        <w:t>term bond obligation on Internal Revenue Service Form 1040 Schedule D; and</w:t>
      </w:r>
    </w:p>
    <w:p w:rsidR="004C770E" w:rsidRDefault="004C770E" w:rsidP="00FF2245">
      <w:pPr>
        <w:spacing w:after="0" w:line="240" w:lineRule="auto"/>
        <w:ind w:left="2160"/>
        <w:jc w:val="both"/>
      </w:pPr>
    </w:p>
    <w:p w:rsidR="004C770E" w:rsidRDefault="004C770E" w:rsidP="00FF2245">
      <w:pPr>
        <w:spacing w:after="0" w:line="240" w:lineRule="auto"/>
        <w:ind w:left="2160"/>
        <w:jc w:val="both"/>
      </w:pPr>
      <w:r>
        <w:t>(3) the amount of the insurance company's investment in the exchange</w:t>
      </w:r>
      <w:r>
        <w:noBreakHyphen/>
        <w:t>traded fund does not exceed 15 percent of the insurance company's capital and surplus.</w:t>
      </w:r>
    </w:p>
    <w:p w:rsidR="004C770E" w:rsidRDefault="004C770E" w:rsidP="00FF2245">
      <w:pPr>
        <w:spacing w:after="0" w:line="240" w:lineRule="auto"/>
        <w:ind w:left="2160"/>
        <w:jc w:val="both"/>
      </w:pPr>
    </w:p>
    <w:p w:rsidR="004C770E" w:rsidRDefault="004C770E" w:rsidP="00FF2245">
      <w:pPr>
        <w:spacing w:after="0" w:line="240" w:lineRule="auto"/>
        <w:ind w:left="1440"/>
        <w:jc w:val="both"/>
      </w:pPr>
      <w:r>
        <w:t>(b) Provides that this section does not authorize an insurance company to invest in a bond exchange</w:t>
      </w:r>
      <w:r>
        <w:noBreakHyphen/>
        <w:t>traded fund that has:</w:t>
      </w:r>
    </w:p>
    <w:p w:rsidR="004C770E" w:rsidRDefault="004C770E" w:rsidP="00FF2245">
      <w:pPr>
        <w:spacing w:after="0" w:line="240" w:lineRule="auto"/>
        <w:ind w:left="1440"/>
        <w:jc w:val="both"/>
      </w:pPr>
    </w:p>
    <w:p w:rsidR="004C770E" w:rsidRDefault="004C770E" w:rsidP="00FF2245">
      <w:pPr>
        <w:spacing w:after="0" w:line="240" w:lineRule="auto"/>
        <w:ind w:left="2160"/>
        <w:jc w:val="both"/>
      </w:pPr>
      <w:r>
        <w:t>(1) embedded structural features designed to deliver performance that does not track the full unlevered and positive return of the underlying index or exposure, including a leveraged or inverse exchange</w:t>
      </w:r>
      <w:r>
        <w:noBreakHyphen/>
        <w:t>traded fund; or</w:t>
      </w:r>
    </w:p>
    <w:p w:rsidR="004C770E" w:rsidRDefault="004C770E" w:rsidP="00FF2245">
      <w:pPr>
        <w:spacing w:after="0" w:line="240" w:lineRule="auto"/>
        <w:ind w:left="2160"/>
        <w:jc w:val="both"/>
      </w:pPr>
    </w:p>
    <w:p w:rsidR="004C770E" w:rsidRDefault="004C770E" w:rsidP="00FF2245">
      <w:pPr>
        <w:spacing w:after="0" w:line="240" w:lineRule="auto"/>
        <w:ind w:left="2160"/>
        <w:jc w:val="both"/>
      </w:pPr>
      <w:r>
        <w:t xml:space="preserve">(2) an expense ratio in excess of 100 basis points. </w:t>
      </w:r>
    </w:p>
    <w:p w:rsidR="004C770E" w:rsidRDefault="004C770E" w:rsidP="00FF2245">
      <w:pPr>
        <w:spacing w:after="0" w:line="240" w:lineRule="auto"/>
        <w:ind w:left="2160"/>
        <w:jc w:val="both"/>
      </w:pPr>
    </w:p>
    <w:p w:rsidR="004C770E" w:rsidRDefault="004C770E" w:rsidP="00FF2245">
      <w:pPr>
        <w:spacing w:after="0" w:line="240" w:lineRule="auto"/>
        <w:ind w:left="1440"/>
        <w:jc w:val="both"/>
      </w:pPr>
      <w:r>
        <w:t>(c) Requires a bond exchange-traded fund described by Subsection (a) to be considered a business entity for purposes of Section 425.110 (Authorized Investments: Obligations of and Other Investments in Business Entities).</w:t>
      </w:r>
    </w:p>
    <w:p w:rsidR="004C770E" w:rsidRDefault="004C770E" w:rsidP="00FF2245">
      <w:pPr>
        <w:spacing w:after="0" w:line="240" w:lineRule="auto"/>
        <w:ind w:left="1440"/>
        <w:jc w:val="both"/>
      </w:pPr>
    </w:p>
    <w:p w:rsidR="004C770E" w:rsidRDefault="004C770E" w:rsidP="00FF2245">
      <w:pPr>
        <w:spacing w:after="0" w:line="240" w:lineRule="auto"/>
        <w:ind w:left="1440"/>
        <w:jc w:val="both"/>
      </w:pPr>
      <w:r>
        <w:t>(d) Authorizes an insurance company to deposit with TDI shares of a bond exchange-traded fund described by Subsection (a) as a statutory deposit if state law requires a statutory deposit from the insurance company.</w:t>
      </w:r>
    </w:p>
    <w:p w:rsidR="004C770E" w:rsidRDefault="004C770E" w:rsidP="00FF2245">
      <w:pPr>
        <w:spacing w:after="0" w:line="240" w:lineRule="auto"/>
        <w:ind w:left="1440"/>
        <w:jc w:val="both"/>
      </w:pPr>
    </w:p>
    <w:p w:rsidR="004C770E" w:rsidRPr="00C8671F" w:rsidRDefault="004C770E" w:rsidP="00FF224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3. Effective date: September 1, 2019.</w:t>
      </w:r>
    </w:p>
    <w:sectPr w:rsidR="004C770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B2" w:rsidRDefault="00A76AB2" w:rsidP="000F1DF9">
      <w:pPr>
        <w:spacing w:after="0" w:line="240" w:lineRule="auto"/>
      </w:pPr>
      <w:r>
        <w:separator/>
      </w:r>
    </w:p>
  </w:endnote>
  <w:endnote w:type="continuationSeparator" w:id="0">
    <w:p w:rsidR="00A76AB2" w:rsidRDefault="00A76AB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76AB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C770E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C770E">
                <w:rPr>
                  <w:sz w:val="20"/>
                  <w:szCs w:val="20"/>
                </w:rPr>
                <w:t>C.S.H.B. 2694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C770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76AB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C770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C770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B2" w:rsidRDefault="00A76AB2" w:rsidP="000F1DF9">
      <w:pPr>
        <w:spacing w:after="0" w:line="240" w:lineRule="auto"/>
      </w:pPr>
      <w:r>
        <w:separator/>
      </w:r>
    </w:p>
  </w:footnote>
  <w:footnote w:type="continuationSeparator" w:id="0">
    <w:p w:rsidR="00A76AB2" w:rsidRDefault="00A76AB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770E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76AB2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7D53A"/>
  <w15:docId w15:val="{18118DB3-2F93-45D4-A839-54D63C6C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770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226BA" w:rsidP="007226B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94D1A5B9BA546FAA4769CFD4B2F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B204-F5F8-4089-8F30-3EFB1B19B8DA}"/>
      </w:docPartPr>
      <w:docPartBody>
        <w:p w:rsidR="00000000" w:rsidRDefault="00F65566"/>
      </w:docPartBody>
    </w:docPart>
    <w:docPart>
      <w:docPartPr>
        <w:name w:val="2FEA68B4E16A42F9A014A7C8ABD1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7EC1-44E3-4E16-BCCA-A213711F9EA0}"/>
      </w:docPartPr>
      <w:docPartBody>
        <w:p w:rsidR="00000000" w:rsidRDefault="00F65566"/>
      </w:docPartBody>
    </w:docPart>
    <w:docPart>
      <w:docPartPr>
        <w:name w:val="9C00C786AAAB471FB80450B5650E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5E63-453F-4CB2-854D-525A0A470BC3}"/>
      </w:docPartPr>
      <w:docPartBody>
        <w:p w:rsidR="00000000" w:rsidRDefault="00F65566"/>
      </w:docPartBody>
    </w:docPart>
    <w:docPart>
      <w:docPartPr>
        <w:name w:val="7028C40EDE844D4D90D0CA6E76341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50DA-A41E-4DC2-8856-EE3CF6C1F192}"/>
      </w:docPartPr>
      <w:docPartBody>
        <w:p w:rsidR="00000000" w:rsidRDefault="00F65566"/>
      </w:docPartBody>
    </w:docPart>
    <w:docPart>
      <w:docPartPr>
        <w:name w:val="581C4C75D9C845BB8E49493683B4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4C8F-AD9E-4712-8912-871A65381186}"/>
      </w:docPartPr>
      <w:docPartBody>
        <w:p w:rsidR="00000000" w:rsidRDefault="00F65566"/>
      </w:docPartBody>
    </w:docPart>
    <w:docPart>
      <w:docPartPr>
        <w:name w:val="755EAB73E2A34E948CF1E142E247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2A46-F9A8-49F7-A32C-E7B369BE70D2}"/>
      </w:docPartPr>
      <w:docPartBody>
        <w:p w:rsidR="00000000" w:rsidRDefault="00F65566"/>
      </w:docPartBody>
    </w:docPart>
    <w:docPart>
      <w:docPartPr>
        <w:name w:val="7001B13F7C1A4BA0A8EBA202F678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3A61-D1B5-4CF0-9397-097E212816C9}"/>
      </w:docPartPr>
      <w:docPartBody>
        <w:p w:rsidR="00000000" w:rsidRDefault="00F65566"/>
      </w:docPartBody>
    </w:docPart>
    <w:docPart>
      <w:docPartPr>
        <w:name w:val="D51076AC9E6A48608E3A51EBC883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CF3B5-48BB-41FE-A2C2-7E6329D8D843}"/>
      </w:docPartPr>
      <w:docPartBody>
        <w:p w:rsidR="00000000" w:rsidRDefault="00F65566"/>
      </w:docPartBody>
    </w:docPart>
    <w:docPart>
      <w:docPartPr>
        <w:name w:val="3FFE8986975B47A59480C58F78E0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46D0-A38D-4199-99F4-FF5D66D34E87}"/>
      </w:docPartPr>
      <w:docPartBody>
        <w:p w:rsidR="00000000" w:rsidRDefault="007226BA" w:rsidP="007226BA">
          <w:pPr>
            <w:pStyle w:val="3FFE8986975B47A59480C58F78E03C4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1E020919ED34AB48387EBC76E06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4C2A-30FD-4534-A5BA-75042C483B14}"/>
      </w:docPartPr>
      <w:docPartBody>
        <w:p w:rsidR="00000000" w:rsidRDefault="00F65566"/>
      </w:docPartBody>
    </w:docPart>
    <w:docPart>
      <w:docPartPr>
        <w:name w:val="F0FF05A1100446B382AEB1627EF5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5C75-0953-4070-A5A3-546C757AD884}"/>
      </w:docPartPr>
      <w:docPartBody>
        <w:p w:rsidR="00000000" w:rsidRDefault="00F65566"/>
      </w:docPartBody>
    </w:docPart>
    <w:docPart>
      <w:docPartPr>
        <w:name w:val="DDD8A7BDAE2747B6911CDC05034D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AC1C-C54E-46B0-A8E6-E734B9B49B7E}"/>
      </w:docPartPr>
      <w:docPartBody>
        <w:p w:rsidR="00000000" w:rsidRDefault="007226BA" w:rsidP="007226BA">
          <w:pPr>
            <w:pStyle w:val="DDD8A7BDAE2747B6911CDC05034D5AE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527FF0BCB2146BD865122335450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EA96-4DAC-49F4-B7D3-00FDCFEE7569}"/>
      </w:docPartPr>
      <w:docPartBody>
        <w:p w:rsidR="00000000" w:rsidRDefault="00F65566"/>
      </w:docPartBody>
    </w:docPart>
    <w:docPart>
      <w:docPartPr>
        <w:name w:val="9EBDFB7D96524349A61068E65A83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044D-0AFA-4AE3-BB10-565C8794BA21}"/>
      </w:docPartPr>
      <w:docPartBody>
        <w:p w:rsidR="00000000" w:rsidRDefault="00F655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226BA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65566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6B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226B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226B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226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FFE8986975B47A59480C58F78E03C48">
    <w:name w:val="3FFE8986975B47A59480C58F78E03C48"/>
    <w:rsid w:val="007226BA"/>
    <w:pPr>
      <w:spacing w:after="160" w:line="259" w:lineRule="auto"/>
    </w:pPr>
  </w:style>
  <w:style w:type="paragraph" w:customStyle="1" w:styleId="DDD8A7BDAE2747B6911CDC05034D5AE2">
    <w:name w:val="DDD8A7BDAE2747B6911CDC05034D5AE2"/>
    <w:rsid w:val="007226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5C8A55A-3C4C-4B08-B54B-91A85136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635</Words>
  <Characters>3625</Characters>
  <Application>Microsoft Office Word</Application>
  <DocSecurity>0</DocSecurity>
  <Lines>30</Lines>
  <Paragraphs>8</Paragraphs>
  <ScaleCrop>false</ScaleCrop>
  <Company>Texas Legislative Council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2019-05-09T16:29:00Z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