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16E0" w:rsidTr="00345119">
        <w:tc>
          <w:tcPr>
            <w:tcW w:w="9576" w:type="dxa"/>
            <w:noWrap/>
          </w:tcPr>
          <w:p w:rsidR="008423E4" w:rsidRPr="0022177D" w:rsidRDefault="0059106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91064" w:rsidP="008423E4">
      <w:pPr>
        <w:jc w:val="center"/>
      </w:pPr>
    </w:p>
    <w:p w:rsidR="008423E4" w:rsidRPr="00B31F0E" w:rsidRDefault="00591064" w:rsidP="008423E4"/>
    <w:p w:rsidR="008423E4" w:rsidRPr="00742794" w:rsidRDefault="0059106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16E0" w:rsidTr="00345119">
        <w:tc>
          <w:tcPr>
            <w:tcW w:w="9576" w:type="dxa"/>
          </w:tcPr>
          <w:p w:rsidR="008423E4" w:rsidRPr="00861995" w:rsidRDefault="00591064" w:rsidP="00345119">
            <w:pPr>
              <w:jc w:val="right"/>
            </w:pPr>
            <w:r>
              <w:t>C.S.H.B. 2723</w:t>
            </w:r>
          </w:p>
        </w:tc>
      </w:tr>
      <w:tr w:rsidR="00D016E0" w:rsidTr="00345119">
        <w:tc>
          <w:tcPr>
            <w:tcW w:w="9576" w:type="dxa"/>
          </w:tcPr>
          <w:p w:rsidR="008423E4" w:rsidRPr="00861995" w:rsidRDefault="00591064" w:rsidP="00B1401E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D016E0" w:rsidTr="00345119">
        <w:tc>
          <w:tcPr>
            <w:tcW w:w="9576" w:type="dxa"/>
          </w:tcPr>
          <w:p w:rsidR="008423E4" w:rsidRPr="00861995" w:rsidRDefault="00591064" w:rsidP="00345119">
            <w:pPr>
              <w:jc w:val="right"/>
            </w:pPr>
            <w:r>
              <w:t>Environmental Regulation</w:t>
            </w:r>
          </w:p>
        </w:tc>
      </w:tr>
      <w:tr w:rsidR="00D016E0" w:rsidTr="00345119">
        <w:tc>
          <w:tcPr>
            <w:tcW w:w="9576" w:type="dxa"/>
          </w:tcPr>
          <w:p w:rsidR="008423E4" w:rsidRDefault="0059106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91064" w:rsidP="008423E4">
      <w:pPr>
        <w:tabs>
          <w:tab w:val="right" w:pos="9360"/>
        </w:tabs>
      </w:pPr>
    </w:p>
    <w:p w:rsidR="008423E4" w:rsidRDefault="00591064" w:rsidP="008423E4"/>
    <w:p w:rsidR="008423E4" w:rsidRDefault="0059106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16E0" w:rsidTr="00345119">
        <w:tc>
          <w:tcPr>
            <w:tcW w:w="9576" w:type="dxa"/>
          </w:tcPr>
          <w:p w:rsidR="008423E4" w:rsidRPr="00A8133F" w:rsidRDefault="00591064" w:rsidP="0058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91064" w:rsidP="00580295"/>
          <w:p w:rsidR="008423E4" w:rsidRDefault="00591064" w:rsidP="0058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B917A6">
              <w:t xml:space="preserve"> </w:t>
            </w:r>
            <w:r>
              <w:t>no</w:t>
            </w:r>
            <w:r>
              <w:t>ted</w:t>
            </w:r>
            <w:r w:rsidRPr="00B917A6">
              <w:t xml:space="preserve"> that municipal solid waste facilities are a critical component of support infrastructure that the public depends on for proper waste disposal and the protection of public health and safety. However, </w:t>
            </w:r>
            <w:r>
              <w:t>concerns have been raised over regulations adopted by</w:t>
            </w:r>
            <w:r w:rsidRPr="00B917A6">
              <w:t xml:space="preserve"> lo</w:t>
            </w:r>
            <w:r w:rsidRPr="00B917A6">
              <w:t xml:space="preserve">cal governments and other political subdivisions that </w:t>
            </w:r>
            <w:r>
              <w:t>some</w:t>
            </w:r>
            <w:r>
              <w:t xml:space="preserve"> </w:t>
            </w:r>
            <w:r>
              <w:t>suggest</w:t>
            </w:r>
            <w:r>
              <w:t xml:space="preserve"> </w:t>
            </w:r>
            <w:r w:rsidRPr="00B917A6">
              <w:t>create a patchwork of inconsistent regulation that undermine</w:t>
            </w:r>
            <w:r>
              <w:t>s</w:t>
            </w:r>
            <w:r w:rsidRPr="00B917A6">
              <w:t xml:space="preserve"> the ability</w:t>
            </w:r>
            <w:r>
              <w:t xml:space="preserve"> of</w:t>
            </w:r>
            <w:r w:rsidRPr="00B917A6">
              <w:t xml:space="preserve"> </w:t>
            </w:r>
            <w:r>
              <w:t>facilities to operate as intended</w:t>
            </w:r>
            <w:r w:rsidRPr="00B917A6">
              <w:t xml:space="preserve">. </w:t>
            </w:r>
            <w:r>
              <w:t>C.S.H.B.</w:t>
            </w:r>
            <w:r>
              <w:t xml:space="preserve"> </w:t>
            </w:r>
            <w:r w:rsidRPr="00B917A6">
              <w:t xml:space="preserve">2723 seeks to </w:t>
            </w:r>
            <w:r>
              <w:t>address these concerns by</w:t>
            </w:r>
            <w:r>
              <w:t xml:space="preserve"> setting out provisions</w:t>
            </w:r>
            <w:r>
              <w:t xml:space="preserve"> </w:t>
            </w:r>
            <w:r w:rsidRPr="005E0A3F">
              <w:t>relat</w:t>
            </w:r>
            <w:r w:rsidRPr="005E0A3F">
              <w:t>ing to local government and other political subdivision regulation of certain solid waste facilities</w:t>
            </w:r>
            <w:r w:rsidRPr="00B917A6">
              <w:t>.</w:t>
            </w:r>
          </w:p>
          <w:p w:rsidR="008423E4" w:rsidRPr="00E26B13" w:rsidRDefault="00591064" w:rsidP="00580295">
            <w:pPr>
              <w:rPr>
                <w:b/>
              </w:rPr>
            </w:pPr>
          </w:p>
        </w:tc>
      </w:tr>
      <w:tr w:rsidR="00D016E0" w:rsidTr="00345119">
        <w:tc>
          <w:tcPr>
            <w:tcW w:w="9576" w:type="dxa"/>
          </w:tcPr>
          <w:p w:rsidR="0017725B" w:rsidRDefault="00591064" w:rsidP="005802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91064" w:rsidP="00580295">
            <w:pPr>
              <w:rPr>
                <w:b/>
                <w:u w:val="single"/>
              </w:rPr>
            </w:pPr>
          </w:p>
          <w:p w:rsidR="00453D15" w:rsidRPr="00453D15" w:rsidRDefault="00591064" w:rsidP="00580295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591064" w:rsidP="00580295">
            <w:pPr>
              <w:rPr>
                <w:b/>
                <w:u w:val="single"/>
              </w:rPr>
            </w:pPr>
          </w:p>
        </w:tc>
      </w:tr>
      <w:tr w:rsidR="00D016E0" w:rsidTr="00345119">
        <w:tc>
          <w:tcPr>
            <w:tcW w:w="9576" w:type="dxa"/>
          </w:tcPr>
          <w:p w:rsidR="008423E4" w:rsidRPr="00A8133F" w:rsidRDefault="00591064" w:rsidP="0058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91064" w:rsidP="00580295"/>
          <w:p w:rsidR="00453D15" w:rsidRDefault="00591064" w:rsidP="0058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591064" w:rsidP="00580295">
            <w:pPr>
              <w:rPr>
                <w:b/>
              </w:rPr>
            </w:pPr>
          </w:p>
        </w:tc>
      </w:tr>
      <w:tr w:rsidR="00D016E0" w:rsidTr="00345119">
        <w:tc>
          <w:tcPr>
            <w:tcW w:w="9576" w:type="dxa"/>
          </w:tcPr>
          <w:p w:rsidR="008423E4" w:rsidRPr="00A8133F" w:rsidRDefault="00591064" w:rsidP="0058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91064" w:rsidP="00580295"/>
          <w:p w:rsidR="00002696" w:rsidRDefault="00591064" w:rsidP="0058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2723 amends the Health and Safety Code to </w:t>
            </w:r>
            <w:r>
              <w:t>establish that an applicant for a permit</w:t>
            </w:r>
            <w:r>
              <w:t xml:space="preserve"> under the Solid Waste Disposal Act is not required to obtain a permit for the siting, construction, or operation of a municipal solid waste facility from a political subdivision</w:t>
            </w:r>
            <w:r>
              <w:t xml:space="preserve"> </w:t>
            </w:r>
            <w:r w:rsidRPr="00E91959">
              <w:t>as a prerequisite to a permit being issued by the Texas Commission on Environ</w:t>
            </w:r>
            <w:r w:rsidRPr="00E91959">
              <w:t>mental Quality (TCEQ)</w:t>
            </w:r>
            <w:r>
              <w:t>.</w:t>
            </w:r>
            <w:r>
              <w:t xml:space="preserve"> The bill prohibits a political subdivision from adopting a rule or ordinance that conflicts with or is inconsistent with the requirements for municipal solid waste facilities</w:t>
            </w:r>
            <w:r>
              <w:t xml:space="preserve"> as specified by TC</w:t>
            </w:r>
            <w:r>
              <w:t>E</w:t>
            </w:r>
            <w:r>
              <w:t xml:space="preserve">Q </w:t>
            </w:r>
            <w:r>
              <w:t>rules or a TCEQ permit</w:t>
            </w:r>
            <w:r>
              <w:t xml:space="preserve"> or</w:t>
            </w:r>
            <w:r>
              <w:t xml:space="preserve"> </w:t>
            </w:r>
            <w:r>
              <w:t>the require</w:t>
            </w:r>
            <w:r>
              <w:t xml:space="preserve">ments for such facilities </w:t>
            </w:r>
            <w:r>
              <w:t>under TCEQ jurisdiction</w:t>
            </w:r>
            <w:r>
              <w:t xml:space="preserve"> over the management of municipal solid waste</w:t>
            </w:r>
            <w:r>
              <w:t>.</w:t>
            </w:r>
            <w:r>
              <w:t xml:space="preserve"> </w:t>
            </w:r>
            <w:r>
              <w:t xml:space="preserve">The bill clarifies the grounds on which the </w:t>
            </w:r>
            <w:r>
              <w:t>validit</w:t>
            </w:r>
            <w:r>
              <w:t>y or applicability of a rule or ordinance of a political subdivision concerning a permit for the siting, cons</w:t>
            </w:r>
            <w:r>
              <w:t xml:space="preserve">truction, or operation of certain </w:t>
            </w:r>
            <w:r>
              <w:t xml:space="preserve">solid waste </w:t>
            </w:r>
            <w:r>
              <w:t>facilities</w:t>
            </w:r>
            <w:r>
              <w:t xml:space="preserve"> may be the subject of an action for declaratory judgment</w:t>
            </w:r>
            <w:r>
              <w:t xml:space="preserve">. </w:t>
            </w:r>
            <w:r w:rsidRPr="001761BE">
              <w:t xml:space="preserve">The bill </w:t>
            </w:r>
            <w:r>
              <w:t xml:space="preserve">establishes that provisions relating to </w:t>
            </w:r>
            <w:r w:rsidRPr="00002696">
              <w:t>local permits for hazardous waste management and m</w:t>
            </w:r>
            <w:r>
              <w:t>unicipal solid waste facilities, as amende</w:t>
            </w:r>
            <w:r>
              <w:t xml:space="preserve">d by the bill, </w:t>
            </w:r>
            <w:r w:rsidRPr="001761BE">
              <w:t>do not prevent or limit</w:t>
            </w:r>
            <w:r>
              <w:t xml:space="preserve">: </w:t>
            </w:r>
          </w:p>
          <w:p w:rsidR="00002696" w:rsidRDefault="00591064" w:rsidP="005802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761BE">
              <w:t>a county or municipality from exercising</w:t>
            </w:r>
            <w:r>
              <w:t xml:space="preserve"> certain</w:t>
            </w:r>
            <w:r w:rsidRPr="001761BE">
              <w:t xml:space="preserve"> authority</w:t>
            </w:r>
            <w:r>
              <w:t xml:space="preserve"> granted under </w:t>
            </w:r>
            <w:r w:rsidRPr="00002696">
              <w:t>the Comprehensive Municipal Solid Waste Management, Resource Recovery, and Conservation Act</w:t>
            </w:r>
            <w:r w:rsidRPr="001761BE">
              <w:t xml:space="preserve"> to </w:t>
            </w:r>
            <w:r>
              <w:t>prohibit</w:t>
            </w:r>
            <w:r>
              <w:t xml:space="preserve"> the processing or disposal </w:t>
            </w:r>
            <w:r w:rsidRPr="001761BE">
              <w:t xml:space="preserve">of solid waste </w:t>
            </w:r>
            <w:r>
              <w:t>in certain areas;</w:t>
            </w:r>
            <w:r w:rsidRPr="001761BE">
              <w:t xml:space="preserve"> or </w:t>
            </w:r>
          </w:p>
          <w:p w:rsidR="008423E4" w:rsidRDefault="00591064" w:rsidP="005802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county from exercising </w:t>
            </w:r>
            <w:r>
              <w:t xml:space="preserve">certain </w:t>
            </w:r>
            <w:r>
              <w:t xml:space="preserve">authority granted under </w:t>
            </w:r>
            <w:r w:rsidRPr="00497412">
              <w:t>the County Solid Waste Control Act</w:t>
            </w:r>
            <w:r>
              <w:t xml:space="preserve"> </w:t>
            </w:r>
            <w:r>
              <w:t>to prohibit</w:t>
            </w:r>
            <w:r>
              <w:t xml:space="preserve"> solid waste disposal</w:t>
            </w:r>
            <w:r>
              <w:t xml:space="preserve"> in the county</w:t>
            </w:r>
            <w:r>
              <w:t>.</w:t>
            </w:r>
            <w:r>
              <w:t xml:space="preserve">  </w:t>
            </w:r>
          </w:p>
          <w:p w:rsidR="008423E4" w:rsidRPr="00835628" w:rsidRDefault="00591064" w:rsidP="00580295">
            <w:pPr>
              <w:rPr>
                <w:b/>
              </w:rPr>
            </w:pPr>
          </w:p>
        </w:tc>
      </w:tr>
      <w:tr w:rsidR="00D016E0" w:rsidTr="00345119">
        <w:tc>
          <w:tcPr>
            <w:tcW w:w="9576" w:type="dxa"/>
          </w:tcPr>
          <w:p w:rsidR="008423E4" w:rsidRPr="00A8133F" w:rsidRDefault="00591064" w:rsidP="005802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91064" w:rsidP="00580295"/>
          <w:p w:rsidR="008423E4" w:rsidRPr="003624F2" w:rsidRDefault="00591064" w:rsidP="005802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91064" w:rsidP="00580295">
            <w:pPr>
              <w:rPr>
                <w:b/>
              </w:rPr>
            </w:pPr>
          </w:p>
        </w:tc>
      </w:tr>
      <w:tr w:rsidR="00D016E0" w:rsidTr="00345119">
        <w:tc>
          <w:tcPr>
            <w:tcW w:w="9576" w:type="dxa"/>
          </w:tcPr>
          <w:p w:rsidR="00B1401E" w:rsidRDefault="00591064" w:rsidP="0058029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A56CE" w:rsidRDefault="00591064" w:rsidP="00580295">
            <w:pPr>
              <w:jc w:val="both"/>
            </w:pPr>
          </w:p>
          <w:p w:rsidR="00EA56CE" w:rsidRDefault="00591064" w:rsidP="00580295">
            <w:pPr>
              <w:jc w:val="both"/>
            </w:pPr>
            <w:r>
              <w:t>While C.S.H.B. 2723 may differ from the original in minor or nonsubstantive ways, the following summarizes the substantial differences between the introduced and committee substitute versions of the bill.</w:t>
            </w:r>
          </w:p>
          <w:p w:rsidR="00EA56CE" w:rsidRDefault="00591064" w:rsidP="00580295">
            <w:pPr>
              <w:jc w:val="both"/>
            </w:pPr>
          </w:p>
          <w:p w:rsidR="0067617B" w:rsidRDefault="00591064" w:rsidP="00580295">
            <w:pPr>
              <w:jc w:val="both"/>
            </w:pPr>
            <w:r>
              <w:t xml:space="preserve">The substitute, with respect to </w:t>
            </w:r>
            <w:r>
              <w:t>the</w:t>
            </w:r>
            <w:r>
              <w:t xml:space="preserve"> provision </w:t>
            </w:r>
            <w:r w:rsidRPr="0067617B">
              <w:t>establish</w:t>
            </w:r>
            <w:r>
              <w:t>ing</w:t>
            </w:r>
            <w:r w:rsidRPr="0067617B">
              <w:t xml:space="preserve"> that an applicant for a permit under the Solid Waste Disposal Act is not required to obtain a permit for the siting, construction, or operation of a municipal solid waste facility from a political subdivision</w:t>
            </w:r>
            <w:r>
              <w:t>, specifies that the applicant is n</w:t>
            </w:r>
            <w:r>
              <w:t xml:space="preserve">ot required to obtain such a permit </w:t>
            </w:r>
            <w:r w:rsidRPr="0067617B">
              <w:t>as a prerequisite to a permit being issued by</w:t>
            </w:r>
            <w:r>
              <w:t xml:space="preserve"> TCEQ.</w:t>
            </w:r>
          </w:p>
          <w:p w:rsidR="0067617B" w:rsidRDefault="00591064" w:rsidP="00580295">
            <w:pPr>
              <w:jc w:val="both"/>
            </w:pPr>
          </w:p>
          <w:p w:rsidR="0067617B" w:rsidRDefault="00591064" w:rsidP="00580295">
            <w:pPr>
              <w:jc w:val="both"/>
            </w:pPr>
            <w:r>
              <w:t xml:space="preserve">The substitute includes a </w:t>
            </w:r>
            <w:r>
              <w:t>prohibition against</w:t>
            </w:r>
            <w:r w:rsidRPr="0067617B">
              <w:t xml:space="preserve"> a political subdivision adopting a rule or ordinance that conflicts with or is inconsistent with the requirements for mun</w:t>
            </w:r>
            <w:r w:rsidRPr="0067617B">
              <w:t>icipal solid waste facilities under TCEQ jurisdiction</w:t>
            </w:r>
            <w:r>
              <w:t xml:space="preserve"> over the management of municipal solid waste</w:t>
            </w:r>
            <w:r w:rsidRPr="0067617B">
              <w:t>.</w:t>
            </w:r>
          </w:p>
          <w:p w:rsidR="0067617B" w:rsidRDefault="00591064" w:rsidP="00580295">
            <w:pPr>
              <w:jc w:val="both"/>
            </w:pPr>
          </w:p>
          <w:p w:rsidR="0067617B" w:rsidRDefault="00591064" w:rsidP="00580295">
            <w:pPr>
              <w:jc w:val="both"/>
            </w:pPr>
            <w:r>
              <w:t>The substitute includes a provision establishing that provisions relating to local permits for hazardous waste management and municipal solid waste facilit</w:t>
            </w:r>
            <w:r>
              <w:t xml:space="preserve">ies, as amended by the substitute, do not prevent or limit: </w:t>
            </w:r>
          </w:p>
          <w:p w:rsidR="0067617B" w:rsidRDefault="00591064" w:rsidP="0058029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county or municipality from exercising </w:t>
            </w:r>
            <w:r>
              <w:t xml:space="preserve">certain </w:t>
            </w:r>
            <w:r>
              <w:t xml:space="preserve">authority granted under the Comprehensive Municipal Solid Waste Management, Resource Recovery, and Conservation Act to </w:t>
            </w:r>
            <w:r>
              <w:t>prohibit</w:t>
            </w:r>
            <w:r>
              <w:t xml:space="preserve"> the processing or disposal of solid waste in certain areas; or </w:t>
            </w:r>
          </w:p>
          <w:p w:rsidR="0067617B" w:rsidRDefault="00591064" w:rsidP="0058029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county from exercising certain authority granted under the County Solid Waste Control Act </w:t>
            </w:r>
            <w:r>
              <w:t>to prohibit</w:t>
            </w:r>
            <w:r>
              <w:t xml:space="preserve"> solid waste disposal</w:t>
            </w:r>
            <w:r>
              <w:t xml:space="preserve"> in the county</w:t>
            </w:r>
            <w:r>
              <w:t xml:space="preserve">.  </w:t>
            </w:r>
          </w:p>
          <w:p w:rsidR="00EA56CE" w:rsidRPr="00EA56CE" w:rsidRDefault="00591064" w:rsidP="00580295">
            <w:pPr>
              <w:jc w:val="both"/>
            </w:pPr>
          </w:p>
        </w:tc>
      </w:tr>
      <w:tr w:rsidR="00D016E0" w:rsidTr="00345119">
        <w:tc>
          <w:tcPr>
            <w:tcW w:w="9576" w:type="dxa"/>
          </w:tcPr>
          <w:p w:rsidR="00B1401E" w:rsidRPr="009C1E9A" w:rsidRDefault="00591064" w:rsidP="00580295">
            <w:pPr>
              <w:rPr>
                <w:b/>
                <w:u w:val="single"/>
              </w:rPr>
            </w:pPr>
          </w:p>
        </w:tc>
      </w:tr>
      <w:tr w:rsidR="00D016E0" w:rsidTr="00345119">
        <w:tc>
          <w:tcPr>
            <w:tcW w:w="9576" w:type="dxa"/>
          </w:tcPr>
          <w:p w:rsidR="00B1401E" w:rsidRPr="00B1401E" w:rsidRDefault="00591064" w:rsidP="00580295">
            <w:pPr>
              <w:jc w:val="both"/>
            </w:pPr>
          </w:p>
        </w:tc>
      </w:tr>
    </w:tbl>
    <w:p w:rsidR="008423E4" w:rsidRPr="00BE0E75" w:rsidRDefault="0059106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9106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1064">
      <w:r>
        <w:separator/>
      </w:r>
    </w:p>
  </w:endnote>
  <w:endnote w:type="continuationSeparator" w:id="0">
    <w:p w:rsidR="00000000" w:rsidRDefault="0059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1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16E0" w:rsidTr="009C1E9A">
      <w:trPr>
        <w:cantSplit/>
      </w:trPr>
      <w:tc>
        <w:tcPr>
          <w:tcW w:w="0" w:type="pct"/>
        </w:tcPr>
        <w:p w:rsidR="00137D90" w:rsidRDefault="005910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910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9106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910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910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16E0" w:rsidTr="009C1E9A">
      <w:trPr>
        <w:cantSplit/>
      </w:trPr>
      <w:tc>
        <w:tcPr>
          <w:tcW w:w="0" w:type="pct"/>
        </w:tcPr>
        <w:p w:rsidR="00EC379B" w:rsidRDefault="0059106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9106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26338</w:t>
          </w:r>
        </w:p>
      </w:tc>
      <w:tc>
        <w:tcPr>
          <w:tcW w:w="2453" w:type="pct"/>
        </w:tcPr>
        <w:p w:rsidR="00EC379B" w:rsidRDefault="005910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19.101.1952</w:t>
          </w:r>
          <w:r>
            <w:fldChar w:fldCharType="end"/>
          </w:r>
        </w:p>
      </w:tc>
    </w:tr>
    <w:tr w:rsidR="00D016E0" w:rsidTr="009C1E9A">
      <w:trPr>
        <w:cantSplit/>
      </w:trPr>
      <w:tc>
        <w:tcPr>
          <w:tcW w:w="0" w:type="pct"/>
        </w:tcPr>
        <w:p w:rsidR="00EC379B" w:rsidRDefault="005910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9106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22182</w:t>
          </w:r>
        </w:p>
      </w:tc>
      <w:tc>
        <w:tcPr>
          <w:tcW w:w="2453" w:type="pct"/>
        </w:tcPr>
        <w:p w:rsidR="00EC379B" w:rsidRDefault="00591064" w:rsidP="006D504F">
          <w:pPr>
            <w:pStyle w:val="Footer"/>
            <w:rPr>
              <w:rStyle w:val="PageNumber"/>
            </w:rPr>
          </w:pPr>
        </w:p>
        <w:p w:rsidR="00EC379B" w:rsidRDefault="0059106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16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9106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9106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9106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1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1064">
      <w:r>
        <w:separator/>
      </w:r>
    </w:p>
  </w:footnote>
  <w:footnote w:type="continuationSeparator" w:id="0">
    <w:p w:rsidR="00000000" w:rsidRDefault="0059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1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91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14E"/>
    <w:multiLevelType w:val="hybridMultilevel"/>
    <w:tmpl w:val="AD7CFA4A"/>
    <w:lvl w:ilvl="0" w:tplc="0108F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F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00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F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E4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8F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2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0B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7E2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7B4B"/>
    <w:multiLevelType w:val="hybridMultilevel"/>
    <w:tmpl w:val="846C96D8"/>
    <w:lvl w:ilvl="0" w:tplc="7BB65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2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0C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28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44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46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6F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67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82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E0"/>
    <w:rsid w:val="00591064"/>
    <w:rsid w:val="00D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C3EE0C-A330-4A65-A571-FCACBDB9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10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1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0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0D6"/>
    <w:rPr>
      <w:b/>
      <w:bCs/>
    </w:rPr>
  </w:style>
  <w:style w:type="character" w:styleId="Hyperlink">
    <w:name w:val="Hyperlink"/>
    <w:basedOn w:val="DefaultParagraphFont"/>
    <w:unhideWhenUsed/>
    <w:rsid w:val="005A7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013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617B"/>
    <w:pPr>
      <w:ind w:left="720"/>
      <w:contextualSpacing/>
    </w:pPr>
  </w:style>
  <w:style w:type="paragraph" w:styleId="Revision">
    <w:name w:val="Revision"/>
    <w:hidden/>
    <w:uiPriority w:val="99"/>
    <w:semiHidden/>
    <w:rsid w:val="00057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3658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HB02723 (Committee Report (Substituted))</vt:lpstr>
    </vt:vector>
  </TitlesOfParts>
  <Company>State of Texas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26338</dc:subject>
  <dc:creator>State of Texas</dc:creator>
  <dc:description>HB 2723 by Darby-(H)Environmental Regulation (Substitute Document Number: 86R 22182)</dc:description>
  <cp:lastModifiedBy>Scotty Wimberley</cp:lastModifiedBy>
  <cp:revision>2</cp:revision>
  <cp:lastPrinted>2003-11-26T17:21:00Z</cp:lastPrinted>
  <dcterms:created xsi:type="dcterms:W3CDTF">2019-04-15T17:28:00Z</dcterms:created>
  <dcterms:modified xsi:type="dcterms:W3CDTF">2019-04-15T17:28:00Z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19.101.1952</vt:lpwstr>
  </property>
</Properties>
</file>