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D7844" w:rsidTr="00345119">
        <w:tc>
          <w:tcPr>
            <w:tcW w:w="9576" w:type="dxa"/>
            <w:noWrap/>
          </w:tcPr>
          <w:p w:rsidR="008423E4" w:rsidRPr="0022177D" w:rsidRDefault="003722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722F4" w:rsidP="008423E4">
      <w:pPr>
        <w:jc w:val="center"/>
      </w:pPr>
    </w:p>
    <w:p w:rsidR="008423E4" w:rsidRPr="00B31F0E" w:rsidRDefault="003722F4" w:rsidP="008423E4"/>
    <w:p w:rsidR="008423E4" w:rsidRPr="00742794" w:rsidRDefault="003722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7844" w:rsidTr="00345119">
        <w:tc>
          <w:tcPr>
            <w:tcW w:w="9576" w:type="dxa"/>
          </w:tcPr>
          <w:p w:rsidR="008423E4" w:rsidRPr="00861995" w:rsidRDefault="003722F4" w:rsidP="00345119">
            <w:pPr>
              <w:jc w:val="right"/>
            </w:pPr>
            <w:r>
              <w:t>H.B. 2729</w:t>
            </w:r>
          </w:p>
        </w:tc>
      </w:tr>
      <w:tr w:rsidR="00AD7844" w:rsidTr="00345119">
        <w:tc>
          <w:tcPr>
            <w:tcW w:w="9576" w:type="dxa"/>
          </w:tcPr>
          <w:p w:rsidR="008423E4" w:rsidRPr="00861995" w:rsidRDefault="003722F4" w:rsidP="005A7BB3">
            <w:pPr>
              <w:jc w:val="right"/>
            </w:pPr>
            <w:r>
              <w:t xml:space="preserve">By: </w:t>
            </w:r>
            <w:r>
              <w:t>Minjarez</w:t>
            </w:r>
          </w:p>
        </w:tc>
      </w:tr>
      <w:tr w:rsidR="00AD7844" w:rsidTr="00345119">
        <w:tc>
          <w:tcPr>
            <w:tcW w:w="9576" w:type="dxa"/>
          </w:tcPr>
          <w:p w:rsidR="008423E4" w:rsidRPr="00861995" w:rsidRDefault="003722F4" w:rsidP="00345119">
            <w:pPr>
              <w:jc w:val="right"/>
            </w:pPr>
            <w:r>
              <w:t>Natural Resources</w:t>
            </w:r>
          </w:p>
        </w:tc>
      </w:tr>
      <w:tr w:rsidR="00AD7844" w:rsidTr="00345119">
        <w:tc>
          <w:tcPr>
            <w:tcW w:w="9576" w:type="dxa"/>
          </w:tcPr>
          <w:p w:rsidR="008423E4" w:rsidRDefault="003722F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722F4" w:rsidP="008423E4">
      <w:pPr>
        <w:tabs>
          <w:tab w:val="right" w:pos="9360"/>
        </w:tabs>
      </w:pPr>
    </w:p>
    <w:p w:rsidR="008423E4" w:rsidRDefault="003722F4" w:rsidP="008423E4"/>
    <w:p w:rsidR="008423E4" w:rsidRDefault="003722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D7844" w:rsidTr="00345119">
        <w:tc>
          <w:tcPr>
            <w:tcW w:w="9576" w:type="dxa"/>
          </w:tcPr>
          <w:p w:rsidR="008423E4" w:rsidRPr="00A8133F" w:rsidRDefault="003722F4" w:rsidP="001B2D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722F4" w:rsidP="001B2DCB"/>
          <w:p w:rsidR="008423E4" w:rsidRDefault="003722F4" w:rsidP="001B2DCB">
            <w:pPr>
              <w:pStyle w:val="Header"/>
              <w:jc w:val="both"/>
            </w:pPr>
            <w:r>
              <w:t>It has been suggested</w:t>
            </w:r>
            <w:r>
              <w:t xml:space="preserve"> that </w:t>
            </w:r>
            <w:r>
              <w:t xml:space="preserve">the </w:t>
            </w:r>
            <w:r>
              <w:t>overall</w:t>
            </w:r>
            <w:r w:rsidRPr="00C76C0F">
              <w:t xml:space="preserve"> management of groundwater </w:t>
            </w:r>
            <w:r>
              <w:t xml:space="preserve">in Texas has at times been </w:t>
            </w:r>
            <w:r w:rsidRPr="00C76C0F">
              <w:t xml:space="preserve">incompatible with the directives imposed </w:t>
            </w:r>
            <w:r>
              <w:t xml:space="preserve">by law </w:t>
            </w:r>
            <w:r>
              <w:t xml:space="preserve">on the </w:t>
            </w:r>
            <w:r w:rsidRPr="00C76C0F">
              <w:t>Edwards Aquifer Authority</w:t>
            </w:r>
            <w:r>
              <w:t xml:space="preserve">, </w:t>
            </w:r>
            <w:r>
              <w:t>requir</w:t>
            </w:r>
            <w:r>
              <w:t>ing</w:t>
            </w:r>
            <w:r>
              <w:t xml:space="preserve"> </w:t>
            </w:r>
            <w:r>
              <w:t xml:space="preserve">multiple </w:t>
            </w:r>
            <w:r>
              <w:t xml:space="preserve">exemptions </w:t>
            </w:r>
            <w:r>
              <w:t>for the authority from statutory provisions governing groundwater conservation districts and other water districts</w:t>
            </w:r>
            <w:r>
              <w:t xml:space="preserve"> more generally</w:t>
            </w:r>
            <w:r>
              <w:t>. Concerns have been raised that this situation has</w:t>
            </w:r>
            <w:r>
              <w:t xml:space="preserve"> </w:t>
            </w:r>
            <w:r>
              <w:t>crea</w:t>
            </w:r>
            <w:r>
              <w:t>ted</w:t>
            </w:r>
            <w:r>
              <w:t xml:space="preserve"> confusion about </w:t>
            </w:r>
            <w:r>
              <w:t>which laws apply</w:t>
            </w:r>
            <w:r>
              <w:t>.</w:t>
            </w:r>
            <w:r>
              <w:t xml:space="preserve"> </w:t>
            </w:r>
            <w:r>
              <w:t>H.B. 2729 seeks to address this issue by revising</w:t>
            </w:r>
            <w:r>
              <w:t xml:space="preserve"> and updating</w:t>
            </w:r>
            <w:r>
              <w:t xml:space="preserve"> provisions relating to the authority</w:t>
            </w:r>
            <w:r>
              <w:t>.</w:t>
            </w:r>
          </w:p>
          <w:p w:rsidR="008423E4" w:rsidRPr="00E26B13" w:rsidRDefault="003722F4" w:rsidP="001B2DCB">
            <w:pPr>
              <w:rPr>
                <w:b/>
              </w:rPr>
            </w:pPr>
          </w:p>
        </w:tc>
      </w:tr>
      <w:tr w:rsidR="00AD7844" w:rsidTr="00345119">
        <w:tc>
          <w:tcPr>
            <w:tcW w:w="9576" w:type="dxa"/>
          </w:tcPr>
          <w:p w:rsidR="0017725B" w:rsidRDefault="003722F4" w:rsidP="001B2D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722F4" w:rsidP="001B2DCB">
            <w:pPr>
              <w:rPr>
                <w:b/>
                <w:u w:val="single"/>
              </w:rPr>
            </w:pPr>
          </w:p>
          <w:p w:rsidR="001C0E9E" w:rsidRPr="001C0E9E" w:rsidRDefault="003722F4" w:rsidP="001B2DCB">
            <w:pPr>
              <w:jc w:val="both"/>
            </w:pPr>
            <w:r>
              <w:t>It is the committee's opinion that this bill does not expressly create a criminal offense,</w:t>
            </w:r>
            <w:r>
              <w:t xml:space="preserve">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722F4" w:rsidP="001B2DCB">
            <w:pPr>
              <w:rPr>
                <w:b/>
                <w:u w:val="single"/>
              </w:rPr>
            </w:pPr>
          </w:p>
        </w:tc>
      </w:tr>
      <w:tr w:rsidR="00AD7844" w:rsidTr="00345119">
        <w:tc>
          <w:tcPr>
            <w:tcW w:w="9576" w:type="dxa"/>
          </w:tcPr>
          <w:p w:rsidR="008423E4" w:rsidRPr="00A8133F" w:rsidRDefault="003722F4" w:rsidP="001B2D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722F4" w:rsidP="001B2DCB"/>
          <w:p w:rsidR="001C0E9E" w:rsidRDefault="003722F4" w:rsidP="001B2D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</w:t>
            </w:r>
            <w:r>
              <w:t xml:space="preserve"> not expressly grant any additional rulemaking authority to a state officer, department, agency, or institution.</w:t>
            </w:r>
          </w:p>
          <w:p w:rsidR="008423E4" w:rsidRPr="00E21FDC" w:rsidRDefault="003722F4" w:rsidP="001B2DCB">
            <w:pPr>
              <w:rPr>
                <w:b/>
              </w:rPr>
            </w:pPr>
          </w:p>
        </w:tc>
      </w:tr>
      <w:tr w:rsidR="00AD7844" w:rsidTr="00345119">
        <w:tc>
          <w:tcPr>
            <w:tcW w:w="9576" w:type="dxa"/>
          </w:tcPr>
          <w:p w:rsidR="008423E4" w:rsidRPr="00A8133F" w:rsidRDefault="003722F4" w:rsidP="001B2D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</w:p>
          <w:p w:rsidR="008423E4" w:rsidRDefault="003722F4" w:rsidP="001B2DCB"/>
          <w:p w:rsidR="00840DEC" w:rsidRDefault="003722F4" w:rsidP="001B2D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2729 amends </w:t>
            </w:r>
            <w:r w:rsidRPr="00414F6F">
              <w:t>Chapter 626, Acts of the 73rd Legislature, Regular Session, 1993</w:t>
            </w:r>
            <w:r>
              <w:t>, to revise and update provisions relating to</w:t>
            </w:r>
            <w:r>
              <w:t xml:space="preserve"> the </w:t>
            </w:r>
            <w:r w:rsidRPr="000A1703">
              <w:t>Edwards Aquifer Authority</w:t>
            </w:r>
            <w:r>
              <w:t>.</w:t>
            </w:r>
            <w:r>
              <w:t xml:space="preserve"> The bill</w:t>
            </w:r>
            <w:r>
              <w:t xml:space="preserve"> revises the Water Code provisions under which </w:t>
            </w:r>
            <w:r w:rsidRPr="00A1381A">
              <w:t>rights, powers, privileges, authority, functions, and duties</w:t>
            </w:r>
            <w:r>
              <w:t xml:space="preserve"> are granted to or imposed on the authority</w:t>
            </w:r>
            <w:r>
              <w:t xml:space="preserve"> </w:t>
            </w:r>
            <w:r>
              <w:t>and</w:t>
            </w:r>
            <w:r>
              <w:t xml:space="preserve"> explicitly</w:t>
            </w:r>
            <w:r>
              <w:t xml:space="preserve"> exempts the authority from statutory</w:t>
            </w:r>
            <w:r>
              <w:t xml:space="preserve"> groundwater c</w:t>
            </w:r>
            <w:r>
              <w:t>onservation district</w:t>
            </w:r>
            <w:r>
              <w:t xml:space="preserve"> provisions</w:t>
            </w:r>
            <w:r>
              <w:t xml:space="preserve">. </w:t>
            </w:r>
          </w:p>
          <w:p w:rsidR="00840DEC" w:rsidRDefault="003722F4" w:rsidP="001B2D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36E06" w:rsidRDefault="003722F4" w:rsidP="001B2D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2729</w:t>
            </w:r>
            <w:r>
              <w:t xml:space="preserve"> makes a </w:t>
            </w:r>
            <w:r w:rsidRPr="00D41E25">
              <w:t>member of a governing body of another politi</w:t>
            </w:r>
            <w:r>
              <w:t xml:space="preserve">cal subdivision </w:t>
            </w:r>
            <w:r w:rsidRPr="00D41E25">
              <w:t>ineligible for appointment or election as a director of the authority.</w:t>
            </w:r>
            <w:r>
              <w:t xml:space="preserve"> The bill establishes that a</w:t>
            </w:r>
            <w:r>
              <w:t xml:space="preserve"> director</w:t>
            </w:r>
            <w:r>
              <w:t xml:space="preserve"> </w:t>
            </w:r>
            <w:r>
              <w:t>is disqualified and vacat</w:t>
            </w:r>
            <w:r>
              <w:t xml:space="preserve">es the </w:t>
            </w:r>
            <w:r>
              <w:t>office of director if the director is appointed or elected as a member of the governing body of another political subdivision.</w:t>
            </w:r>
            <w:r>
              <w:t xml:space="preserve"> </w:t>
            </w:r>
            <w:r>
              <w:t>T</w:t>
            </w:r>
            <w:r>
              <w:t xml:space="preserve">he bill establishes </w:t>
            </w:r>
            <w:r>
              <w:t>the</w:t>
            </w:r>
            <w:r>
              <w:t xml:space="preserve"> liability </w:t>
            </w:r>
            <w:r>
              <w:t>for</w:t>
            </w:r>
            <w:r>
              <w:t xml:space="preserve"> </w:t>
            </w:r>
            <w:r>
              <w:t xml:space="preserve">a director </w:t>
            </w:r>
            <w:r>
              <w:t>as</w:t>
            </w:r>
            <w:r>
              <w:t xml:space="preserve"> an</w:t>
            </w:r>
            <w:r>
              <w:t xml:space="preserve"> authority</w:t>
            </w:r>
            <w:r>
              <w:t xml:space="preserve"> employee</w:t>
            </w:r>
            <w:r>
              <w:t xml:space="preserve"> under </w:t>
            </w:r>
            <w:r w:rsidRPr="0096386F">
              <w:t>the Texas Tort Claims Act</w:t>
            </w:r>
            <w:r>
              <w:t xml:space="preserve"> even if the director d</w:t>
            </w:r>
            <w:r>
              <w:t xml:space="preserve">oes </w:t>
            </w:r>
            <w:r w:rsidRPr="00855028">
              <w:t>not receive fees of office voluntarily, by authority policy, or through a statutory exception</w:t>
            </w:r>
            <w:r>
              <w:t xml:space="preserve">. The bill </w:t>
            </w:r>
            <w:r>
              <w:t>grants a</w:t>
            </w:r>
            <w:r>
              <w:t xml:space="preserve"> director immun</w:t>
            </w:r>
            <w:r>
              <w:t>ity</w:t>
            </w:r>
            <w:r>
              <w:t xml:space="preserve"> from </w:t>
            </w:r>
            <w:r w:rsidRPr="00855028">
              <w:t>suit and liability for official votes and official actions</w:t>
            </w:r>
            <w:r>
              <w:t xml:space="preserve"> and specifies that</w:t>
            </w:r>
            <w:r>
              <w:t>,</w:t>
            </w:r>
            <w:r>
              <w:t xml:space="preserve"> to </w:t>
            </w:r>
            <w:r w:rsidRPr="00855028">
              <w:t>the extent an official vote or off</w:t>
            </w:r>
            <w:r w:rsidRPr="00855028">
              <w:t>icial action conforms to laws relating to conflicts of interest, abuse of office, or constitutional obligations</w:t>
            </w:r>
            <w:r>
              <w:t>,</w:t>
            </w:r>
            <w:r>
              <w:t xml:space="preserve"> immunity is provided for those actions</w:t>
            </w:r>
            <w:r>
              <w:t>.</w:t>
            </w:r>
            <w:r>
              <w:t xml:space="preserve"> </w:t>
            </w:r>
          </w:p>
          <w:p w:rsidR="007876E3" w:rsidRDefault="003722F4" w:rsidP="001B2D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262AD" w:rsidRDefault="003722F4" w:rsidP="001B2DCB">
            <w:pPr>
              <w:pStyle w:val="Header"/>
              <w:jc w:val="both"/>
            </w:pPr>
            <w:r>
              <w:t xml:space="preserve">H.B. 2729 authorizes an applicant </w:t>
            </w:r>
            <w:r>
              <w:t>in a contested or uncontested</w:t>
            </w:r>
            <w:r>
              <w:t xml:space="preserve"> hearing on an application </w:t>
            </w:r>
            <w:r>
              <w:t>under the a</w:t>
            </w:r>
            <w:r>
              <w:t xml:space="preserve">uthority's governing provisions </w:t>
            </w:r>
            <w:r w:rsidRPr="007262AD">
              <w:t>or a party to a contested hearing</w:t>
            </w:r>
            <w:r>
              <w:t xml:space="preserve"> to </w:t>
            </w:r>
            <w:r w:rsidRPr="007262AD">
              <w:t xml:space="preserve">administratively appeal a decision of the </w:t>
            </w:r>
            <w:r>
              <w:t xml:space="preserve">authority's </w:t>
            </w:r>
            <w:r w:rsidRPr="007262AD">
              <w:t>board</w:t>
            </w:r>
            <w:r>
              <w:t xml:space="preserve"> </w:t>
            </w:r>
            <w:r>
              <w:t>of directors</w:t>
            </w:r>
            <w:r>
              <w:t xml:space="preserve"> on an application</w:t>
            </w:r>
            <w:r>
              <w:t xml:space="preserve"> and sets out related provisions regarding findings of fact and conclusions of law by the board</w:t>
            </w:r>
            <w:r>
              <w:t>,</w:t>
            </w:r>
            <w:r>
              <w:t xml:space="preserve"> </w:t>
            </w:r>
            <w:r>
              <w:t>a</w:t>
            </w:r>
            <w:r>
              <w:t xml:space="preserve"> request for a rehearing</w:t>
            </w:r>
            <w:r>
              <w:t>, and when a board decision on an application is final.</w:t>
            </w:r>
          </w:p>
          <w:p w:rsidR="00D97CF8" w:rsidRDefault="003722F4" w:rsidP="001B2DCB">
            <w:pPr>
              <w:pStyle w:val="Header"/>
              <w:jc w:val="both"/>
            </w:pPr>
          </w:p>
          <w:p w:rsidR="003728BC" w:rsidRDefault="003722F4" w:rsidP="001B2D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2729 repeals a requirement that t</w:t>
            </w:r>
            <w:r w:rsidRPr="00FE319E">
              <w:t xml:space="preserve">he authority, in conjunction with </w:t>
            </w:r>
            <w:r>
              <w:t>specified entities,</w:t>
            </w:r>
            <w:r w:rsidRPr="00FE319E">
              <w:t xml:space="preserve"> develop a 20-year plan for providing alternative supplies of water to the region</w:t>
            </w:r>
            <w:r>
              <w:t xml:space="preserve"> a</w:t>
            </w:r>
            <w:r>
              <w:t xml:space="preserve">nd removes certain provisions and requirements relating to the authority's </w:t>
            </w:r>
            <w:r>
              <w:t>critical period management plan</w:t>
            </w:r>
            <w:r>
              <w:t>.</w:t>
            </w:r>
            <w:r>
              <w:t xml:space="preserve"> The bill</w:t>
            </w:r>
            <w:r>
              <w:t xml:space="preserve"> replaces the requirement </w:t>
            </w:r>
            <w:r>
              <w:t xml:space="preserve">that the authority impose a permit application fee </w:t>
            </w:r>
            <w:r>
              <w:t>capped at</w:t>
            </w:r>
            <w:r>
              <w:t xml:space="preserve"> $25 with an authorization to impose such fee. The bill authorizes the authority to </w:t>
            </w:r>
            <w:r w:rsidRPr="00DF0243">
              <w:t>impose fees to recover administrative costs associated with actions other than the filing and processing of applications and registrations.</w:t>
            </w:r>
            <w:r>
              <w:t xml:space="preserve"> The bill prohibits the fees from</w:t>
            </w:r>
            <w:r>
              <w:t xml:space="preserve"> unreasonably exceeding the administrative costs.</w:t>
            </w:r>
            <w:r>
              <w:t xml:space="preserve"> The bill authorizes the authority to close, cap, and plug certain abandoned, open, uncovered, and deteriorated wells and sets out related provisions.</w:t>
            </w:r>
            <w:r>
              <w:t xml:space="preserve"> </w:t>
            </w:r>
          </w:p>
          <w:p w:rsidR="008B47FD" w:rsidRDefault="003722F4" w:rsidP="001B2D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:rsidR="008B47FD" w:rsidRDefault="003722F4" w:rsidP="001B2D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2729 </w:t>
            </w:r>
            <w:r>
              <w:t>revises provisions relating to an injunctio</w:t>
            </w:r>
            <w:r>
              <w:t>n by the</w:t>
            </w:r>
            <w:r>
              <w:t xml:space="preserve"> authority </w:t>
            </w:r>
            <w:r>
              <w:t>to provide for a mandatory injunction and the enforcement of the authority's rules.</w:t>
            </w:r>
            <w:r>
              <w:t xml:space="preserve"> The bill establishes </w:t>
            </w:r>
            <w:r>
              <w:t xml:space="preserve">the limit of liability for </w:t>
            </w:r>
            <w:r w:rsidRPr="007876E3">
              <w:t>a governmental entity for a violation of authority rules</w:t>
            </w:r>
            <w:r>
              <w:t xml:space="preserve"> based on</w:t>
            </w:r>
            <w:r w:rsidRPr="007876E3">
              <w:t xml:space="preserve"> the limits on the amount of fees, costs</w:t>
            </w:r>
            <w:r w:rsidRPr="007876E3">
              <w:t>, and penalties that the authority may impose</w:t>
            </w:r>
            <w:r>
              <w:t xml:space="preserve"> under </w:t>
            </w:r>
            <w:r>
              <w:t>enforcement</w:t>
            </w:r>
            <w:r>
              <w:t xml:space="preserve"> provisions</w:t>
            </w:r>
            <w:r>
              <w:t>. The authority may still</w:t>
            </w:r>
            <w:r w:rsidRPr="007876E3">
              <w:t xml:space="preserve"> recove</w:t>
            </w:r>
            <w:r>
              <w:t>r</w:t>
            </w:r>
            <w:r w:rsidRPr="007876E3">
              <w:t xml:space="preserve"> fees and costs</w:t>
            </w:r>
            <w:r>
              <w:t xml:space="preserve"> </w:t>
            </w:r>
            <w:r w:rsidRPr="007876E3">
              <w:t xml:space="preserve">in </w:t>
            </w:r>
            <w:r>
              <w:t xml:space="preserve">such </w:t>
            </w:r>
            <w:r w:rsidRPr="007876E3">
              <w:t>an action against a governmental entity.</w:t>
            </w:r>
          </w:p>
          <w:p w:rsidR="00D930B3" w:rsidRDefault="003722F4" w:rsidP="001B2D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D7614" w:rsidRDefault="003722F4" w:rsidP="001B2DCB">
            <w:pPr>
              <w:pStyle w:val="Header"/>
              <w:jc w:val="both"/>
            </w:pPr>
            <w:r>
              <w:t>H.B. 2729 sets out provisions relating to suits involving the authority, including,</w:t>
            </w:r>
            <w:r>
              <w:t xml:space="preserve"> among other provisions, provisions relating to </w:t>
            </w:r>
            <w:r w:rsidRPr="005D7614">
              <w:t>suit</w:t>
            </w:r>
            <w:r>
              <w:t>s</w:t>
            </w:r>
            <w:r w:rsidRPr="005D7614">
              <w:t xml:space="preserve"> against the authority or its directors to challenge the validity of </w:t>
            </w:r>
            <w:r>
              <w:t>a</w:t>
            </w:r>
            <w:r w:rsidRPr="005D7614">
              <w:t xml:space="preserve"> law, rule, or order</w:t>
            </w:r>
            <w:r>
              <w:t>;</w:t>
            </w:r>
            <w:r>
              <w:t xml:space="preserve"> </w:t>
            </w:r>
            <w:r>
              <w:t xml:space="preserve">entities authorized to </w:t>
            </w:r>
            <w:r w:rsidRPr="00B45135">
              <w:t xml:space="preserve">participate in an appeal of a decision on </w:t>
            </w:r>
            <w:r>
              <w:t>an</w:t>
            </w:r>
            <w:r w:rsidRPr="00B45135">
              <w:t xml:space="preserve"> application that was the subject of </w:t>
            </w:r>
            <w:r>
              <w:t>a</w:t>
            </w:r>
            <w:r w:rsidRPr="00B45135">
              <w:t xml:space="preserve"> conte</w:t>
            </w:r>
            <w:r w:rsidRPr="00B45135">
              <w:t>sted case hearing</w:t>
            </w:r>
            <w:r>
              <w:t xml:space="preserve">; and the </w:t>
            </w:r>
            <w:r w:rsidRPr="00B45135">
              <w:t xml:space="preserve">recovery for attorney's fees, costs for expert witnesses, and other costs incurred by the authority before </w:t>
            </w:r>
            <w:r>
              <w:t>a</w:t>
            </w:r>
            <w:r w:rsidRPr="00B45135">
              <w:t xml:space="preserve"> court</w:t>
            </w:r>
            <w:r>
              <w:t xml:space="preserve"> in certain suits</w:t>
            </w:r>
            <w:r>
              <w:t>.</w:t>
            </w:r>
          </w:p>
          <w:p w:rsidR="005D7614" w:rsidRDefault="003722F4" w:rsidP="001B2DCB">
            <w:pPr>
              <w:pStyle w:val="Header"/>
              <w:jc w:val="both"/>
            </w:pPr>
          </w:p>
          <w:p w:rsidR="006475EC" w:rsidRDefault="003722F4" w:rsidP="001B2D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2729 amends the Water Code to make a conforming change.</w:t>
            </w:r>
            <w:r>
              <w:t xml:space="preserve"> </w:t>
            </w:r>
          </w:p>
          <w:p w:rsidR="00F12AF3" w:rsidRDefault="003722F4" w:rsidP="001B2D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2AF3" w:rsidRDefault="003722F4" w:rsidP="001B2D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2729 repeals the following </w:t>
            </w:r>
            <w:r>
              <w:t>provisions:</w:t>
            </w:r>
          </w:p>
          <w:p w:rsidR="00F12AF3" w:rsidRDefault="003722F4" w:rsidP="001B2DC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12AF3">
              <w:t>Section 1.25(b), Chapter 626, Acts of the 73rd Legislature, Regular Session, 1993</w:t>
            </w:r>
          </w:p>
          <w:p w:rsidR="00F12AF3" w:rsidRDefault="003722F4" w:rsidP="001B2DC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36.101(l), Water Code</w:t>
            </w:r>
          </w:p>
          <w:p w:rsidR="00F12AF3" w:rsidRDefault="003722F4" w:rsidP="001B2DC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36.1011(e), Water Code</w:t>
            </w:r>
          </w:p>
          <w:p w:rsidR="00F12AF3" w:rsidRDefault="003722F4" w:rsidP="001B2DC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36.125, Water Code </w:t>
            </w:r>
          </w:p>
          <w:p w:rsidR="00F12AF3" w:rsidRDefault="003722F4" w:rsidP="001B2DC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36.419, Water Code</w:t>
            </w:r>
          </w:p>
          <w:p w:rsidR="006475EC" w:rsidRDefault="003722F4" w:rsidP="001B2D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835628" w:rsidRDefault="003722F4" w:rsidP="001B2DCB">
            <w:pPr>
              <w:rPr>
                <w:b/>
              </w:rPr>
            </w:pPr>
          </w:p>
        </w:tc>
      </w:tr>
      <w:tr w:rsidR="00AD7844" w:rsidTr="00345119">
        <w:tc>
          <w:tcPr>
            <w:tcW w:w="9576" w:type="dxa"/>
          </w:tcPr>
          <w:p w:rsidR="008423E4" w:rsidRPr="00A8133F" w:rsidRDefault="003722F4" w:rsidP="001B2D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722F4" w:rsidP="001B2DCB"/>
          <w:p w:rsidR="008423E4" w:rsidRPr="003624F2" w:rsidRDefault="003722F4" w:rsidP="001B2D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12AF3">
              <w:t>September 1, 2019.</w:t>
            </w:r>
          </w:p>
          <w:p w:rsidR="008423E4" w:rsidRPr="00233FDB" w:rsidRDefault="003722F4" w:rsidP="001B2DCB">
            <w:pPr>
              <w:rPr>
                <w:b/>
              </w:rPr>
            </w:pPr>
          </w:p>
        </w:tc>
      </w:tr>
    </w:tbl>
    <w:p w:rsidR="008423E4" w:rsidRPr="00BE0E75" w:rsidRDefault="003722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722F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22F4">
      <w:r>
        <w:separator/>
      </w:r>
    </w:p>
  </w:endnote>
  <w:endnote w:type="continuationSeparator" w:id="0">
    <w:p w:rsidR="00000000" w:rsidRDefault="0037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2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7844" w:rsidTr="009C1E9A">
      <w:trPr>
        <w:cantSplit/>
      </w:trPr>
      <w:tc>
        <w:tcPr>
          <w:tcW w:w="0" w:type="pct"/>
        </w:tcPr>
        <w:p w:rsidR="00137D90" w:rsidRDefault="003722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722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722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722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722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7844" w:rsidTr="009C1E9A">
      <w:trPr>
        <w:cantSplit/>
      </w:trPr>
      <w:tc>
        <w:tcPr>
          <w:tcW w:w="0" w:type="pct"/>
        </w:tcPr>
        <w:p w:rsidR="00EC379B" w:rsidRDefault="003722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722F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19923</w:t>
          </w:r>
        </w:p>
      </w:tc>
      <w:tc>
        <w:tcPr>
          <w:tcW w:w="2453" w:type="pct"/>
        </w:tcPr>
        <w:p w:rsidR="00EC379B" w:rsidRDefault="003722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19.74.404</w:t>
          </w:r>
          <w:r>
            <w:fldChar w:fldCharType="end"/>
          </w:r>
        </w:p>
      </w:tc>
    </w:tr>
    <w:tr w:rsidR="00AD7844" w:rsidTr="009C1E9A">
      <w:trPr>
        <w:cantSplit/>
      </w:trPr>
      <w:tc>
        <w:tcPr>
          <w:tcW w:w="0" w:type="pct"/>
        </w:tcPr>
        <w:p w:rsidR="00EC379B" w:rsidRDefault="003722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722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722F4" w:rsidP="006D504F">
          <w:pPr>
            <w:pStyle w:val="Footer"/>
            <w:rPr>
              <w:rStyle w:val="PageNumber"/>
            </w:rPr>
          </w:pPr>
        </w:p>
        <w:p w:rsidR="00EC379B" w:rsidRDefault="003722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784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722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722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722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2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22F4">
      <w:r>
        <w:separator/>
      </w:r>
    </w:p>
  </w:footnote>
  <w:footnote w:type="continuationSeparator" w:id="0">
    <w:p w:rsidR="00000000" w:rsidRDefault="0037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2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2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2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50E"/>
    <w:multiLevelType w:val="hybridMultilevel"/>
    <w:tmpl w:val="FAF65D52"/>
    <w:lvl w:ilvl="0" w:tplc="B6348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C52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26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EE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02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E9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E9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E3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F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06D9A"/>
    <w:multiLevelType w:val="hybridMultilevel"/>
    <w:tmpl w:val="E0280388"/>
    <w:lvl w:ilvl="0" w:tplc="882EB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866E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543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E5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8E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0BF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29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4EB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44"/>
    <w:rsid w:val="003722F4"/>
    <w:rsid w:val="00A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08252C-60CC-4B19-802D-D337129D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14F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4F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4F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4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4F6F"/>
    <w:rPr>
      <w:b/>
      <w:bCs/>
    </w:rPr>
  </w:style>
  <w:style w:type="character" w:styleId="Hyperlink">
    <w:name w:val="Hyperlink"/>
    <w:basedOn w:val="DefaultParagraphFont"/>
    <w:unhideWhenUsed/>
    <w:rsid w:val="009638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63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4251</Characters>
  <Application>Microsoft Office Word</Application>
  <DocSecurity>4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HB02729 (Committee Report (Unamended))</vt:lpstr>
    </vt:vector>
  </TitlesOfParts>
  <Company>State of Texas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19923</dc:subject>
  <dc:creator>State of Texas</dc:creator>
  <dc:description>HB 2729 by Minjarez-(H)Natural Resources</dc:description>
  <cp:lastModifiedBy>Laura Ramsay</cp:lastModifiedBy>
  <cp:revision>2</cp:revision>
  <cp:lastPrinted>2003-11-26T17:21:00Z</cp:lastPrinted>
  <dcterms:created xsi:type="dcterms:W3CDTF">2019-04-04T23:49:00Z</dcterms:created>
  <dcterms:modified xsi:type="dcterms:W3CDTF">2019-04-04T23:49:00Z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19.74.404</vt:lpwstr>
  </property>
</Properties>
</file>