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2652" w:rsidTr="00345119">
        <w:tc>
          <w:tcPr>
            <w:tcW w:w="9576" w:type="dxa"/>
            <w:noWrap/>
          </w:tcPr>
          <w:p w:rsidR="008423E4" w:rsidRPr="0022177D" w:rsidRDefault="00C519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19E1" w:rsidP="008423E4">
      <w:pPr>
        <w:jc w:val="center"/>
      </w:pPr>
    </w:p>
    <w:p w:rsidR="008423E4" w:rsidRPr="00B31F0E" w:rsidRDefault="00C519E1" w:rsidP="008423E4"/>
    <w:p w:rsidR="008423E4" w:rsidRPr="00742794" w:rsidRDefault="00C519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2652" w:rsidTr="00345119">
        <w:tc>
          <w:tcPr>
            <w:tcW w:w="9576" w:type="dxa"/>
          </w:tcPr>
          <w:p w:rsidR="008423E4" w:rsidRPr="00861995" w:rsidRDefault="00C519E1" w:rsidP="00345119">
            <w:pPr>
              <w:jc w:val="right"/>
            </w:pPr>
            <w:r>
              <w:t>H.B. 2732</w:t>
            </w:r>
          </w:p>
        </w:tc>
      </w:tr>
      <w:tr w:rsidR="00352652" w:rsidTr="00345119">
        <w:tc>
          <w:tcPr>
            <w:tcW w:w="9576" w:type="dxa"/>
          </w:tcPr>
          <w:p w:rsidR="008423E4" w:rsidRPr="00861995" w:rsidRDefault="00C519E1" w:rsidP="00BD5301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352652" w:rsidTr="00345119">
        <w:tc>
          <w:tcPr>
            <w:tcW w:w="9576" w:type="dxa"/>
          </w:tcPr>
          <w:p w:rsidR="008423E4" w:rsidRPr="00861995" w:rsidRDefault="00C519E1" w:rsidP="00345119">
            <w:pPr>
              <w:jc w:val="right"/>
            </w:pPr>
            <w:r>
              <w:t>Business &amp; Industry</w:t>
            </w:r>
          </w:p>
        </w:tc>
      </w:tr>
      <w:tr w:rsidR="00352652" w:rsidTr="00345119">
        <w:tc>
          <w:tcPr>
            <w:tcW w:w="9576" w:type="dxa"/>
          </w:tcPr>
          <w:p w:rsidR="008423E4" w:rsidRDefault="00C519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19E1" w:rsidP="008423E4">
      <w:pPr>
        <w:tabs>
          <w:tab w:val="right" w:pos="9360"/>
        </w:tabs>
      </w:pPr>
    </w:p>
    <w:p w:rsidR="008423E4" w:rsidRDefault="00C519E1" w:rsidP="008423E4"/>
    <w:p w:rsidR="008423E4" w:rsidRDefault="00C519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2652" w:rsidTr="00345119">
        <w:tc>
          <w:tcPr>
            <w:tcW w:w="9576" w:type="dxa"/>
          </w:tcPr>
          <w:p w:rsidR="008423E4" w:rsidRPr="00A8133F" w:rsidRDefault="00C519E1" w:rsidP="00A902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19E1" w:rsidP="00A902FC"/>
          <w:p w:rsidR="008423E4" w:rsidRDefault="00C519E1" w:rsidP="00A902FC">
            <w:pPr>
              <w:pStyle w:val="Header"/>
              <w:jc w:val="both"/>
            </w:pPr>
            <w:r>
              <w:t xml:space="preserve">Concerns have been raised regarding billing practices for nonemergency health care that </w:t>
            </w:r>
            <w:r>
              <w:t xml:space="preserve">leave </w:t>
            </w:r>
            <w:r>
              <w:t xml:space="preserve">patients </w:t>
            </w:r>
            <w:r>
              <w:t xml:space="preserve">unaware of </w:t>
            </w:r>
            <w:r>
              <w:t xml:space="preserve">potential </w:t>
            </w:r>
            <w:r>
              <w:t xml:space="preserve">costs beyond </w:t>
            </w:r>
            <w:r>
              <w:t>the applicable</w:t>
            </w:r>
            <w:r>
              <w:t xml:space="preserve"> co-pay until after they have accepted, and may have believed they have paid for, the </w:t>
            </w:r>
            <w:r>
              <w:t>health care</w:t>
            </w:r>
            <w:r>
              <w:t xml:space="preserve"> services. It has been suggested that this lack of prior information is unfair and </w:t>
            </w:r>
            <w:r>
              <w:t>can</w:t>
            </w:r>
            <w:r>
              <w:t xml:space="preserve"> result in significant damage to a patient's c</w:t>
            </w:r>
            <w:r>
              <w:t xml:space="preserve">redit score.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2732 </w:t>
            </w:r>
            <w:r>
              <w:t xml:space="preserve">seeks to address these concerns by requiring certain disclosures to a person responsible for </w:t>
            </w:r>
            <w:r>
              <w:t>such medical</w:t>
            </w:r>
            <w:r>
              <w:t xml:space="preserve"> charges before any related unpaid debt </w:t>
            </w:r>
            <w:r>
              <w:t>is</w:t>
            </w:r>
            <w:r>
              <w:t xml:space="preserve"> reported to a consumer reporting agency</w:t>
            </w:r>
            <w:r>
              <w:t>.</w:t>
            </w:r>
          </w:p>
          <w:p w:rsidR="008423E4" w:rsidRPr="00E26B13" w:rsidRDefault="00C519E1" w:rsidP="00A902FC">
            <w:pPr>
              <w:rPr>
                <w:b/>
              </w:rPr>
            </w:pPr>
          </w:p>
        </w:tc>
      </w:tr>
      <w:tr w:rsidR="00352652" w:rsidTr="00345119">
        <w:tc>
          <w:tcPr>
            <w:tcW w:w="9576" w:type="dxa"/>
          </w:tcPr>
          <w:p w:rsidR="0017725B" w:rsidRDefault="00C519E1" w:rsidP="00A902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19E1" w:rsidP="00A902FC">
            <w:pPr>
              <w:rPr>
                <w:b/>
                <w:u w:val="single"/>
              </w:rPr>
            </w:pPr>
          </w:p>
          <w:p w:rsidR="008559D5" w:rsidRPr="008559D5" w:rsidRDefault="00C519E1" w:rsidP="00A902FC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19E1" w:rsidP="00A902FC">
            <w:pPr>
              <w:rPr>
                <w:b/>
                <w:u w:val="single"/>
              </w:rPr>
            </w:pPr>
          </w:p>
        </w:tc>
      </w:tr>
      <w:tr w:rsidR="00352652" w:rsidTr="00345119">
        <w:tc>
          <w:tcPr>
            <w:tcW w:w="9576" w:type="dxa"/>
          </w:tcPr>
          <w:p w:rsidR="008423E4" w:rsidRPr="00A8133F" w:rsidRDefault="00C519E1" w:rsidP="00A902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19E1" w:rsidP="00A902FC"/>
          <w:p w:rsidR="008559D5" w:rsidRDefault="00C519E1" w:rsidP="00A902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6 of this bill.</w:t>
            </w:r>
          </w:p>
          <w:p w:rsidR="008423E4" w:rsidRPr="00E21FDC" w:rsidRDefault="00C519E1" w:rsidP="00A902FC">
            <w:pPr>
              <w:rPr>
                <w:b/>
              </w:rPr>
            </w:pPr>
          </w:p>
        </w:tc>
      </w:tr>
      <w:tr w:rsidR="00352652" w:rsidTr="00345119">
        <w:tc>
          <w:tcPr>
            <w:tcW w:w="9576" w:type="dxa"/>
          </w:tcPr>
          <w:p w:rsidR="008423E4" w:rsidRPr="00A8133F" w:rsidRDefault="00C519E1" w:rsidP="00A902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19E1" w:rsidP="00A902FC"/>
          <w:p w:rsidR="00C04727" w:rsidRDefault="00C519E1" w:rsidP="00A902FC">
            <w:pPr>
              <w:pStyle w:val="Header"/>
              <w:jc w:val="both"/>
            </w:pPr>
            <w:r>
              <w:t xml:space="preserve">H.B. 2732 amends the Business &amp; Commerce </w:t>
            </w:r>
            <w:r>
              <w:t>Code to</w:t>
            </w:r>
            <w:r>
              <w:t xml:space="preserve"> prohibit a health care provider or other person from providing to a consumer reporting agency information regarding an unpaid debt incurred by a consumer for nonemergency medical care provided to the consumer or a person to whom the consumer has a </w:t>
            </w:r>
            <w:r>
              <w:t>legal obligation to provide support unless</w:t>
            </w:r>
            <w:r>
              <w:t>:</w:t>
            </w:r>
          </w:p>
          <w:p w:rsidR="00C04727" w:rsidRDefault="00C519E1" w:rsidP="00A902F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consumer or the consumer's guardian or other legal representative is presented with and signs at the time of receipt a disclosure form concerning the medical charges before the medical care is provided</w:t>
            </w:r>
            <w:r>
              <w:t xml:space="preserve">; </w:t>
            </w:r>
            <w:r>
              <w:t xml:space="preserve">and </w:t>
            </w:r>
          </w:p>
          <w:p w:rsidR="00C04727" w:rsidRDefault="00C519E1" w:rsidP="00EB01AF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information is provided to the </w:t>
            </w:r>
            <w:r>
              <w:t xml:space="preserve">consumer reporting </w:t>
            </w:r>
            <w:r>
              <w:t xml:space="preserve">agency at least 180 days after the date the consumer receives the medical bill for the charges. </w:t>
            </w:r>
          </w:p>
          <w:p w:rsidR="00C04727" w:rsidRDefault="00C519E1" w:rsidP="00A902FC">
            <w:pPr>
              <w:pStyle w:val="Header"/>
              <w:jc w:val="both"/>
            </w:pPr>
          </w:p>
          <w:p w:rsidR="00C04727" w:rsidRDefault="00C519E1" w:rsidP="00A902FC">
            <w:pPr>
              <w:pStyle w:val="Header"/>
              <w:jc w:val="both"/>
            </w:pPr>
            <w:r>
              <w:t>H.B. 2732</w:t>
            </w:r>
            <w:r>
              <w:t xml:space="preserve"> requires the </w:t>
            </w:r>
            <w:r w:rsidRPr="005B00E4">
              <w:t>executive commissioner of the Health and Human Services Commission by rule</w:t>
            </w:r>
            <w:r>
              <w:t xml:space="preserve"> to pre</w:t>
            </w:r>
            <w:r>
              <w:t xml:space="preserve">scribe </w:t>
            </w:r>
            <w:r w:rsidRPr="005B00E4">
              <w:t>the form and content of the disclosure</w:t>
            </w:r>
            <w:r>
              <w:t xml:space="preserve"> and requires the Department of State Health Services </w:t>
            </w:r>
            <w:r>
              <w:t>(</w:t>
            </w:r>
            <w:r>
              <w:t xml:space="preserve">DSHS) to publish the disclosure form on the DSHS website. The bill </w:t>
            </w:r>
            <w:r>
              <w:t xml:space="preserve">sets out the required form and content of </w:t>
            </w:r>
            <w:r>
              <w:t xml:space="preserve">the disclosure form. </w:t>
            </w:r>
          </w:p>
          <w:p w:rsidR="00C04727" w:rsidRDefault="00C519E1" w:rsidP="00A902FC">
            <w:pPr>
              <w:pStyle w:val="Header"/>
              <w:jc w:val="both"/>
            </w:pPr>
          </w:p>
          <w:p w:rsidR="008423E4" w:rsidRDefault="00C519E1" w:rsidP="00A902FC">
            <w:pPr>
              <w:pStyle w:val="Header"/>
              <w:jc w:val="both"/>
            </w:pPr>
            <w:r>
              <w:t>H.B. 2732</w:t>
            </w:r>
            <w:r>
              <w:t xml:space="preserve"> prohibit</w:t>
            </w:r>
            <w:r>
              <w:t>s</w:t>
            </w:r>
            <w:r>
              <w:t xml:space="preserve"> a co</w:t>
            </w:r>
            <w:r>
              <w:t xml:space="preserve">nsumer reporting agency from furnishing a consumer report containing information related to </w:t>
            </w:r>
            <w:r w:rsidRPr="0041788D">
              <w:t xml:space="preserve">an </w:t>
            </w:r>
            <w:r>
              <w:t xml:space="preserve">applicable </w:t>
            </w:r>
            <w:r w:rsidRPr="0041788D">
              <w:t xml:space="preserve">unpaid debt for nonemergency medical care unless the reporting of that debt complies with </w:t>
            </w:r>
            <w:r>
              <w:t>the bill's provisions</w:t>
            </w:r>
            <w:r w:rsidRPr="0041788D">
              <w:t>.</w:t>
            </w:r>
            <w:r>
              <w:t xml:space="preserve"> </w:t>
            </w:r>
            <w:r>
              <w:t>The bill excludes violations of its p</w:t>
            </w:r>
            <w:r>
              <w:t xml:space="preserve">rovisions from the actions classified as false, misleading, or deceptive acts or practices under the </w:t>
            </w:r>
            <w:r w:rsidRPr="009A7C90">
              <w:t>Deceptive Trade Practices-Consumer Protection Act</w:t>
            </w:r>
            <w:r>
              <w:t xml:space="preserve"> and exempts such violations from provisions authorizing the attorney general to file suit for injunctive </w:t>
            </w:r>
            <w:r>
              <w:t xml:space="preserve">relief or a civil penalty against a person who violates </w:t>
            </w:r>
            <w:r>
              <w:t>statutory provisions relating to the regulation of consumer credit reporting agencies.</w:t>
            </w:r>
            <w:r>
              <w:t xml:space="preserve"> </w:t>
            </w:r>
          </w:p>
          <w:p w:rsidR="008423E4" w:rsidRPr="00835628" w:rsidRDefault="00C519E1" w:rsidP="00A902FC">
            <w:pPr>
              <w:rPr>
                <w:b/>
              </w:rPr>
            </w:pPr>
          </w:p>
        </w:tc>
      </w:tr>
      <w:tr w:rsidR="00352652" w:rsidTr="00345119">
        <w:tc>
          <w:tcPr>
            <w:tcW w:w="9576" w:type="dxa"/>
          </w:tcPr>
          <w:p w:rsidR="008423E4" w:rsidRPr="00A8133F" w:rsidRDefault="00C519E1" w:rsidP="00A902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19E1" w:rsidP="00A902FC"/>
          <w:p w:rsidR="008423E4" w:rsidRPr="003624F2" w:rsidRDefault="00C519E1" w:rsidP="00A902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519E1" w:rsidP="00A902FC">
            <w:pPr>
              <w:rPr>
                <w:b/>
              </w:rPr>
            </w:pPr>
          </w:p>
        </w:tc>
      </w:tr>
    </w:tbl>
    <w:p w:rsidR="008423E4" w:rsidRPr="00BE0E75" w:rsidRDefault="00C519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19E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19E1">
      <w:r>
        <w:separator/>
      </w:r>
    </w:p>
  </w:endnote>
  <w:endnote w:type="continuationSeparator" w:id="0">
    <w:p w:rsidR="00000000" w:rsidRDefault="00C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2652" w:rsidTr="009C1E9A">
      <w:trPr>
        <w:cantSplit/>
      </w:trPr>
      <w:tc>
        <w:tcPr>
          <w:tcW w:w="0" w:type="pct"/>
        </w:tcPr>
        <w:p w:rsidR="00137D90" w:rsidRDefault="00C519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19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19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19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19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2652" w:rsidTr="009C1E9A">
      <w:trPr>
        <w:cantSplit/>
      </w:trPr>
      <w:tc>
        <w:tcPr>
          <w:tcW w:w="0" w:type="pct"/>
        </w:tcPr>
        <w:p w:rsidR="00EC379B" w:rsidRDefault="00C519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19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26660</w:t>
          </w:r>
        </w:p>
      </w:tc>
      <w:tc>
        <w:tcPr>
          <w:tcW w:w="2453" w:type="pct"/>
        </w:tcPr>
        <w:p w:rsidR="00EC379B" w:rsidRDefault="00C519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19.102.1279</w:t>
          </w:r>
          <w:r>
            <w:fldChar w:fldCharType="end"/>
          </w:r>
        </w:p>
      </w:tc>
    </w:tr>
    <w:tr w:rsidR="00352652" w:rsidTr="009C1E9A">
      <w:trPr>
        <w:cantSplit/>
      </w:trPr>
      <w:tc>
        <w:tcPr>
          <w:tcW w:w="0" w:type="pct"/>
        </w:tcPr>
        <w:p w:rsidR="00EC379B" w:rsidRDefault="00C519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19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19E1" w:rsidP="006D504F">
          <w:pPr>
            <w:pStyle w:val="Footer"/>
            <w:rPr>
              <w:rStyle w:val="PageNumber"/>
            </w:rPr>
          </w:pPr>
        </w:p>
        <w:p w:rsidR="00EC379B" w:rsidRDefault="00C519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26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19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519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19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19E1">
      <w:r>
        <w:separator/>
      </w:r>
    </w:p>
  </w:footnote>
  <w:footnote w:type="continuationSeparator" w:id="0">
    <w:p w:rsidR="00000000" w:rsidRDefault="00C5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1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4C3D"/>
    <w:multiLevelType w:val="hybridMultilevel"/>
    <w:tmpl w:val="E41ED28A"/>
    <w:lvl w:ilvl="0" w:tplc="559C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6E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C8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9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D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88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61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3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E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2"/>
    <w:rsid w:val="00352652"/>
    <w:rsid w:val="00C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ECBCB9-5673-461F-9F33-B468EF6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0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2500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HB02732 (Committee Report (Unamended))</vt:lpstr>
    </vt:vector>
  </TitlesOfParts>
  <Company>State of Texas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26660</dc:subject>
  <dc:creator>State of Texas</dc:creator>
  <dc:description>HB 2732 by Burrows-(H)Business &amp; Industry</dc:description>
  <cp:lastModifiedBy>Laura Ramsay</cp:lastModifiedBy>
  <cp:revision>2</cp:revision>
  <cp:lastPrinted>2003-11-26T17:21:00Z</cp:lastPrinted>
  <dcterms:created xsi:type="dcterms:W3CDTF">2019-05-02T01:36:00Z</dcterms:created>
  <dcterms:modified xsi:type="dcterms:W3CDTF">2019-05-02T01:36:00Z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19.102.1279</vt:lpwstr>
  </property>
</Properties>
</file>