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295E" w:rsidTr="00345119">
        <w:tc>
          <w:tcPr>
            <w:tcW w:w="9576" w:type="dxa"/>
            <w:noWrap/>
          </w:tcPr>
          <w:p w:rsidR="008423E4" w:rsidRPr="0022177D" w:rsidRDefault="006601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01D4" w:rsidP="008423E4">
      <w:pPr>
        <w:jc w:val="center"/>
      </w:pPr>
    </w:p>
    <w:p w:rsidR="008423E4" w:rsidRPr="00B31F0E" w:rsidRDefault="006601D4" w:rsidP="008423E4"/>
    <w:p w:rsidR="008423E4" w:rsidRPr="00742794" w:rsidRDefault="006601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295E" w:rsidTr="00345119">
        <w:tc>
          <w:tcPr>
            <w:tcW w:w="9576" w:type="dxa"/>
          </w:tcPr>
          <w:p w:rsidR="008423E4" w:rsidRPr="00861995" w:rsidRDefault="006601D4" w:rsidP="00345119">
            <w:pPr>
              <w:jc w:val="right"/>
            </w:pPr>
            <w:r>
              <w:t>C.S.H.B. 2742</w:t>
            </w:r>
          </w:p>
        </w:tc>
      </w:tr>
      <w:tr w:rsidR="004E295E" w:rsidTr="00345119">
        <w:tc>
          <w:tcPr>
            <w:tcW w:w="9576" w:type="dxa"/>
          </w:tcPr>
          <w:p w:rsidR="008423E4" w:rsidRPr="00861995" w:rsidRDefault="006601D4" w:rsidP="00C12E35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4E295E" w:rsidTr="00345119">
        <w:tc>
          <w:tcPr>
            <w:tcW w:w="9576" w:type="dxa"/>
          </w:tcPr>
          <w:p w:rsidR="008423E4" w:rsidRPr="00861995" w:rsidRDefault="006601D4" w:rsidP="00345119">
            <w:pPr>
              <w:jc w:val="right"/>
            </w:pPr>
            <w:r>
              <w:t>Public Health</w:t>
            </w:r>
          </w:p>
        </w:tc>
      </w:tr>
      <w:tr w:rsidR="004E295E" w:rsidTr="00345119">
        <w:tc>
          <w:tcPr>
            <w:tcW w:w="9576" w:type="dxa"/>
          </w:tcPr>
          <w:p w:rsidR="008423E4" w:rsidRDefault="006601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601D4" w:rsidP="008423E4">
      <w:pPr>
        <w:tabs>
          <w:tab w:val="right" w:pos="9360"/>
        </w:tabs>
      </w:pPr>
    </w:p>
    <w:p w:rsidR="008423E4" w:rsidRDefault="006601D4" w:rsidP="008423E4"/>
    <w:p w:rsidR="008423E4" w:rsidRDefault="006601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295E" w:rsidTr="00345119">
        <w:tc>
          <w:tcPr>
            <w:tcW w:w="9576" w:type="dxa"/>
          </w:tcPr>
          <w:p w:rsidR="008423E4" w:rsidRPr="00A8133F" w:rsidRDefault="006601D4" w:rsidP="001625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01D4" w:rsidP="001625FA"/>
          <w:p w:rsidR="008423E4" w:rsidRDefault="006601D4" w:rsidP="001625FA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the </w:t>
            </w:r>
            <w:r>
              <w:t xml:space="preserve">accuracy of information available regarding </w:t>
            </w:r>
            <w:r>
              <w:t xml:space="preserve">providers participating in </w:t>
            </w:r>
            <w:r>
              <w:t xml:space="preserve">the </w:t>
            </w:r>
            <w:r>
              <w:t>Health</w:t>
            </w:r>
            <w:r>
              <w:t>y</w:t>
            </w:r>
            <w:r>
              <w:t xml:space="preserve"> Texas Wom</w:t>
            </w:r>
            <w:r>
              <w:t>e</w:t>
            </w:r>
            <w:r>
              <w:t xml:space="preserve">n </w:t>
            </w:r>
            <w:r>
              <w:t>program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2742 seeks to </w:t>
            </w:r>
            <w:r>
              <w:t xml:space="preserve">address these concerns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>the program provider list to be reviewed and, if necessary, updated at least once every six months</w:t>
            </w:r>
            <w:r>
              <w:t>.</w:t>
            </w:r>
          </w:p>
          <w:p w:rsidR="008423E4" w:rsidRPr="00E26B13" w:rsidRDefault="006601D4" w:rsidP="001625FA">
            <w:pPr>
              <w:rPr>
                <w:b/>
              </w:rPr>
            </w:pPr>
          </w:p>
        </w:tc>
      </w:tr>
      <w:tr w:rsidR="004E295E" w:rsidTr="00345119">
        <w:tc>
          <w:tcPr>
            <w:tcW w:w="9576" w:type="dxa"/>
          </w:tcPr>
          <w:p w:rsidR="0017725B" w:rsidRDefault="006601D4" w:rsidP="001625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01D4" w:rsidP="001625FA">
            <w:pPr>
              <w:rPr>
                <w:b/>
                <w:u w:val="single"/>
              </w:rPr>
            </w:pPr>
          </w:p>
          <w:p w:rsidR="007D75BC" w:rsidRPr="007D75BC" w:rsidRDefault="006601D4" w:rsidP="001625FA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01D4" w:rsidP="001625FA">
            <w:pPr>
              <w:rPr>
                <w:b/>
                <w:u w:val="single"/>
              </w:rPr>
            </w:pPr>
          </w:p>
        </w:tc>
      </w:tr>
      <w:tr w:rsidR="004E295E" w:rsidTr="00345119">
        <w:tc>
          <w:tcPr>
            <w:tcW w:w="9576" w:type="dxa"/>
          </w:tcPr>
          <w:p w:rsidR="008423E4" w:rsidRPr="00A8133F" w:rsidRDefault="006601D4" w:rsidP="001625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01D4" w:rsidP="001625FA"/>
          <w:p w:rsidR="007D75BC" w:rsidRDefault="006601D4" w:rsidP="00162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601D4" w:rsidP="001625FA">
            <w:pPr>
              <w:rPr>
                <w:b/>
              </w:rPr>
            </w:pPr>
          </w:p>
        </w:tc>
      </w:tr>
      <w:tr w:rsidR="004E295E" w:rsidTr="00345119">
        <w:tc>
          <w:tcPr>
            <w:tcW w:w="9576" w:type="dxa"/>
          </w:tcPr>
          <w:p w:rsidR="008423E4" w:rsidRPr="00A8133F" w:rsidRDefault="006601D4" w:rsidP="001625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01D4" w:rsidP="001625FA"/>
          <w:p w:rsidR="00741DF1" w:rsidRDefault="006601D4" w:rsidP="001625FA">
            <w:pPr>
              <w:pStyle w:val="Header"/>
              <w:jc w:val="both"/>
            </w:pPr>
            <w:r>
              <w:t>C.S.</w:t>
            </w:r>
            <w:r>
              <w:t>H.B. 2742 amends the Government Code to require the Health and Human Services Commissio</w:t>
            </w:r>
            <w:r>
              <w:t xml:space="preserve">n </w:t>
            </w:r>
            <w:r>
              <w:t>to do the following at least once</w:t>
            </w:r>
            <w:r>
              <w:t xml:space="preserve"> every six months</w:t>
            </w:r>
            <w:r>
              <w:t xml:space="preserve"> with respect to the Healthy Texas Women program:</w:t>
            </w:r>
          </w:p>
          <w:p w:rsidR="00741DF1" w:rsidRDefault="006601D4" w:rsidP="001625F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review and, if necessary, update </w:t>
            </w:r>
            <w:r>
              <w:t xml:space="preserve">the </w:t>
            </w:r>
            <w:r>
              <w:t>provider list to ensure that each provider included on the list is participating in the program and that the list con</w:t>
            </w:r>
            <w:r>
              <w:t xml:space="preserve">tains accurate contact information for each provider; and </w:t>
            </w:r>
          </w:p>
          <w:p w:rsidR="008423E4" w:rsidRDefault="006601D4" w:rsidP="001625F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make any necessary updates to the list to facilitate women's access to the program's health care services</w:t>
            </w:r>
            <w:r>
              <w:t>.</w:t>
            </w:r>
            <w:r>
              <w:t xml:space="preserve"> </w:t>
            </w:r>
          </w:p>
          <w:p w:rsidR="008423E4" w:rsidRPr="00835628" w:rsidRDefault="006601D4" w:rsidP="001625FA">
            <w:pPr>
              <w:rPr>
                <w:b/>
              </w:rPr>
            </w:pPr>
          </w:p>
        </w:tc>
      </w:tr>
      <w:tr w:rsidR="004E295E" w:rsidTr="00345119">
        <w:tc>
          <w:tcPr>
            <w:tcW w:w="9576" w:type="dxa"/>
          </w:tcPr>
          <w:p w:rsidR="008423E4" w:rsidRPr="00A8133F" w:rsidRDefault="006601D4" w:rsidP="001625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01D4" w:rsidP="001625FA"/>
          <w:p w:rsidR="008423E4" w:rsidRDefault="006601D4" w:rsidP="00162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720691" w:rsidRPr="00233FDB" w:rsidRDefault="006601D4" w:rsidP="001625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E295E" w:rsidTr="00345119">
        <w:tc>
          <w:tcPr>
            <w:tcW w:w="9576" w:type="dxa"/>
          </w:tcPr>
          <w:p w:rsidR="00C12E35" w:rsidRDefault="006601D4" w:rsidP="001625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20691" w:rsidRDefault="006601D4" w:rsidP="001625FA">
            <w:pPr>
              <w:jc w:val="both"/>
            </w:pPr>
          </w:p>
          <w:p w:rsidR="007B33DA" w:rsidRDefault="006601D4" w:rsidP="001625FA">
            <w:pPr>
              <w:jc w:val="both"/>
            </w:pPr>
            <w:r>
              <w:t xml:space="preserve">While </w:t>
            </w:r>
            <w:r>
              <w:t xml:space="preserve">C.S.H.B. 2742 may differ from the original in minor or nonsubstantive ways, the following summarizes the substantial differences between the introduced and committee substitute versions of the bill. </w:t>
            </w:r>
          </w:p>
          <w:p w:rsidR="007B33DA" w:rsidRDefault="006601D4" w:rsidP="001625FA">
            <w:pPr>
              <w:jc w:val="both"/>
            </w:pPr>
          </w:p>
          <w:p w:rsidR="00720691" w:rsidRDefault="006601D4" w:rsidP="001625FA">
            <w:pPr>
              <w:jc w:val="both"/>
            </w:pPr>
            <w:r>
              <w:t>The substitute does not include provisions requiring HH</w:t>
            </w:r>
            <w:r>
              <w:t xml:space="preserve">SC to conduct an audit of providers </w:t>
            </w:r>
            <w:r>
              <w:t xml:space="preserve">under the program </w:t>
            </w:r>
            <w:r>
              <w:t>every six months</w:t>
            </w:r>
            <w:r>
              <w:t xml:space="preserve"> relating to provider specialization and the services provided</w:t>
            </w:r>
            <w:r>
              <w:t>. The substitute requires HHSC instead to review and update the program provider list at least once every six months.</w:t>
            </w:r>
          </w:p>
          <w:p w:rsidR="00720691" w:rsidRPr="00720691" w:rsidRDefault="006601D4" w:rsidP="001625FA">
            <w:pPr>
              <w:jc w:val="both"/>
            </w:pPr>
          </w:p>
        </w:tc>
      </w:tr>
    </w:tbl>
    <w:p w:rsidR="008423E4" w:rsidRPr="003C2919" w:rsidRDefault="006601D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C2919" w:rsidRDefault="006601D4" w:rsidP="008423E4">
      <w:pPr>
        <w:rPr>
          <w:sz w:val="2"/>
          <w:szCs w:val="2"/>
        </w:rPr>
      </w:pPr>
    </w:p>
    <w:sectPr w:rsidR="004108C3" w:rsidRPr="003C291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01D4">
      <w:r>
        <w:separator/>
      </w:r>
    </w:p>
  </w:endnote>
  <w:endnote w:type="continuationSeparator" w:id="0">
    <w:p w:rsidR="00000000" w:rsidRDefault="0066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0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295E" w:rsidTr="009C1E9A">
      <w:trPr>
        <w:cantSplit/>
      </w:trPr>
      <w:tc>
        <w:tcPr>
          <w:tcW w:w="0" w:type="pct"/>
        </w:tcPr>
        <w:p w:rsidR="00137D90" w:rsidRDefault="006601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01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01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01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01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295E" w:rsidTr="009C1E9A">
      <w:trPr>
        <w:cantSplit/>
      </w:trPr>
      <w:tc>
        <w:tcPr>
          <w:tcW w:w="0" w:type="pct"/>
        </w:tcPr>
        <w:p w:rsidR="00EC379B" w:rsidRDefault="006601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01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22374</w:t>
          </w:r>
        </w:p>
      </w:tc>
      <w:tc>
        <w:tcPr>
          <w:tcW w:w="2453" w:type="pct"/>
        </w:tcPr>
        <w:p w:rsidR="00EC379B" w:rsidRDefault="006601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19.86.966</w:t>
          </w:r>
          <w:r>
            <w:fldChar w:fldCharType="end"/>
          </w:r>
        </w:p>
      </w:tc>
    </w:tr>
    <w:tr w:rsidR="004E295E" w:rsidTr="009C1E9A">
      <w:trPr>
        <w:cantSplit/>
      </w:trPr>
      <w:tc>
        <w:tcPr>
          <w:tcW w:w="0" w:type="pct"/>
        </w:tcPr>
        <w:p w:rsidR="00EC379B" w:rsidRDefault="006601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01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20564</w:t>
          </w:r>
        </w:p>
      </w:tc>
      <w:tc>
        <w:tcPr>
          <w:tcW w:w="2453" w:type="pct"/>
        </w:tcPr>
        <w:p w:rsidR="00EC379B" w:rsidRDefault="006601D4" w:rsidP="006D504F">
          <w:pPr>
            <w:pStyle w:val="Footer"/>
            <w:rPr>
              <w:rStyle w:val="PageNumber"/>
            </w:rPr>
          </w:pPr>
        </w:p>
        <w:p w:rsidR="00EC379B" w:rsidRDefault="006601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29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01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01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01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01D4">
      <w:r>
        <w:separator/>
      </w:r>
    </w:p>
  </w:footnote>
  <w:footnote w:type="continuationSeparator" w:id="0">
    <w:p w:rsidR="00000000" w:rsidRDefault="0066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0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0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0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622"/>
    <w:multiLevelType w:val="hybridMultilevel"/>
    <w:tmpl w:val="C144CE32"/>
    <w:lvl w:ilvl="0" w:tplc="BABC7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A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04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A8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6F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83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E5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C9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85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E"/>
    <w:rsid w:val="004E295E"/>
    <w:rsid w:val="006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A2510-B07B-4292-AAB9-65D935F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75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7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5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1694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HB02742 (Committee Report (Substituted))</vt:lpstr>
    </vt:vector>
  </TitlesOfParts>
  <Company>State of Texas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22374</dc:subject>
  <dc:creator>State of Texas</dc:creator>
  <dc:description>HB 2742 by Neave-(H)Public Health (Substitute Document Number: 86R 20564)</dc:description>
  <cp:lastModifiedBy>Laura Ramsay</cp:lastModifiedBy>
  <cp:revision>2</cp:revision>
  <cp:lastPrinted>2003-11-26T17:21:00Z</cp:lastPrinted>
  <dcterms:created xsi:type="dcterms:W3CDTF">2019-03-28T22:26:00Z</dcterms:created>
  <dcterms:modified xsi:type="dcterms:W3CDTF">2019-03-28T22:26:00Z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19.86.966</vt:lpwstr>
  </property>
</Properties>
</file>