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2638" w:rsidTr="00345119">
        <w:tc>
          <w:tcPr>
            <w:tcW w:w="9576" w:type="dxa"/>
            <w:noWrap/>
          </w:tcPr>
          <w:p w:rsidR="008423E4" w:rsidRPr="0022177D" w:rsidRDefault="00AC7B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7B20" w:rsidP="008423E4">
      <w:pPr>
        <w:jc w:val="center"/>
      </w:pPr>
    </w:p>
    <w:p w:rsidR="008423E4" w:rsidRPr="00B31F0E" w:rsidRDefault="00AC7B20" w:rsidP="008423E4"/>
    <w:p w:rsidR="008423E4" w:rsidRPr="00742794" w:rsidRDefault="00AC7B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2638" w:rsidTr="00345119">
        <w:tc>
          <w:tcPr>
            <w:tcW w:w="9576" w:type="dxa"/>
          </w:tcPr>
          <w:p w:rsidR="008423E4" w:rsidRPr="00861995" w:rsidRDefault="00AC7B20" w:rsidP="00345119">
            <w:pPr>
              <w:jc w:val="right"/>
            </w:pPr>
            <w:r>
              <w:t>H.B. 2762</w:t>
            </w:r>
          </w:p>
        </w:tc>
      </w:tr>
      <w:tr w:rsidR="00AB2638" w:rsidTr="00345119">
        <w:tc>
          <w:tcPr>
            <w:tcW w:w="9576" w:type="dxa"/>
          </w:tcPr>
          <w:p w:rsidR="008423E4" w:rsidRPr="00861995" w:rsidRDefault="00AC7B20" w:rsidP="00C70034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AB2638" w:rsidTr="00345119">
        <w:tc>
          <w:tcPr>
            <w:tcW w:w="9576" w:type="dxa"/>
          </w:tcPr>
          <w:p w:rsidR="008423E4" w:rsidRPr="00861995" w:rsidRDefault="00AC7B20" w:rsidP="00345119">
            <w:pPr>
              <w:jc w:val="right"/>
            </w:pPr>
            <w:r>
              <w:t>Judiciary &amp; Civil Jurisprudence</w:t>
            </w:r>
          </w:p>
        </w:tc>
      </w:tr>
      <w:tr w:rsidR="00AB2638" w:rsidTr="00345119">
        <w:tc>
          <w:tcPr>
            <w:tcW w:w="9576" w:type="dxa"/>
          </w:tcPr>
          <w:p w:rsidR="008423E4" w:rsidRDefault="00AC7B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C7B20" w:rsidP="008423E4">
      <w:pPr>
        <w:tabs>
          <w:tab w:val="right" w:pos="9360"/>
        </w:tabs>
      </w:pPr>
    </w:p>
    <w:p w:rsidR="008423E4" w:rsidRDefault="00AC7B20" w:rsidP="008423E4"/>
    <w:p w:rsidR="008423E4" w:rsidRDefault="00AC7B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B2638" w:rsidTr="00345119">
        <w:tc>
          <w:tcPr>
            <w:tcW w:w="9576" w:type="dxa"/>
          </w:tcPr>
          <w:p w:rsidR="008423E4" w:rsidRPr="00A8133F" w:rsidRDefault="00AC7B20" w:rsidP="00FD3E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7B20" w:rsidP="00FD3EA6"/>
          <w:p w:rsidR="008423E4" w:rsidRDefault="00AC7B20" w:rsidP="00FD3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current limitations on the actions a personal representative of a decedent's estate may take without application to or order of the court make </w:t>
            </w:r>
            <w:r>
              <w:t>the</w:t>
            </w:r>
            <w:r>
              <w:t xml:space="preserve"> representative's</w:t>
            </w:r>
            <w:r>
              <w:t xml:space="preserve"> responsibilities unnecessarily burdensome. H.B. 2762 seeks to lig</w:t>
            </w:r>
            <w:r>
              <w:t>hten th</w:t>
            </w:r>
            <w:r>
              <w:t>ose</w:t>
            </w:r>
            <w:r>
              <w:t xml:space="preserve"> </w:t>
            </w:r>
            <w:r>
              <w:t>responsibilities</w:t>
            </w:r>
            <w:r>
              <w:t xml:space="preserve"> by expanding the actions that do not require court involvement to include </w:t>
            </w:r>
            <w:r>
              <w:t xml:space="preserve">the </w:t>
            </w:r>
            <w:r>
              <w:t xml:space="preserve">hiring </w:t>
            </w:r>
            <w:r>
              <w:t xml:space="preserve">of </w:t>
            </w:r>
            <w:r>
              <w:t xml:space="preserve">certain professionals and payment of certain costs. </w:t>
            </w:r>
          </w:p>
          <w:p w:rsidR="008423E4" w:rsidRPr="00E26B13" w:rsidRDefault="00AC7B20" w:rsidP="00FD3EA6">
            <w:pPr>
              <w:rPr>
                <w:b/>
              </w:rPr>
            </w:pPr>
          </w:p>
        </w:tc>
      </w:tr>
      <w:tr w:rsidR="00AB2638" w:rsidTr="00345119">
        <w:tc>
          <w:tcPr>
            <w:tcW w:w="9576" w:type="dxa"/>
          </w:tcPr>
          <w:p w:rsidR="0017725B" w:rsidRDefault="00AC7B20" w:rsidP="00FD3E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7B20" w:rsidP="00FD3EA6">
            <w:pPr>
              <w:rPr>
                <w:b/>
                <w:u w:val="single"/>
              </w:rPr>
            </w:pPr>
          </w:p>
          <w:p w:rsidR="0067004B" w:rsidRPr="0067004B" w:rsidRDefault="00AC7B20" w:rsidP="00FD3EA6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C7B20" w:rsidP="00FD3EA6">
            <w:pPr>
              <w:rPr>
                <w:b/>
                <w:u w:val="single"/>
              </w:rPr>
            </w:pPr>
          </w:p>
        </w:tc>
      </w:tr>
      <w:tr w:rsidR="00AB2638" w:rsidTr="00345119">
        <w:tc>
          <w:tcPr>
            <w:tcW w:w="9576" w:type="dxa"/>
          </w:tcPr>
          <w:p w:rsidR="008423E4" w:rsidRPr="00A8133F" w:rsidRDefault="00AC7B20" w:rsidP="00FD3E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7B20" w:rsidP="00FD3EA6"/>
          <w:p w:rsidR="0067004B" w:rsidRDefault="00AC7B20" w:rsidP="00FD3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</w:t>
            </w:r>
            <w:r>
              <w:t>'s opinion that this bill does not expressly grant any additional rulemaking authority to a state officer, department, agency, or institution.</w:t>
            </w:r>
          </w:p>
          <w:p w:rsidR="008423E4" w:rsidRPr="00E21FDC" w:rsidRDefault="00AC7B20" w:rsidP="00FD3EA6">
            <w:pPr>
              <w:rPr>
                <w:b/>
              </w:rPr>
            </w:pPr>
          </w:p>
        </w:tc>
      </w:tr>
      <w:tr w:rsidR="00AB2638" w:rsidTr="00345119">
        <w:tc>
          <w:tcPr>
            <w:tcW w:w="9576" w:type="dxa"/>
          </w:tcPr>
          <w:p w:rsidR="008423E4" w:rsidRPr="00A8133F" w:rsidRDefault="00AC7B20" w:rsidP="00FD3E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7B20" w:rsidP="00FD3EA6"/>
          <w:p w:rsidR="00FD633D" w:rsidRDefault="00AC7B20" w:rsidP="00FD3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2762 amends the Estates Code to </w:t>
            </w:r>
            <w:r>
              <w:t xml:space="preserve">include the following among </w:t>
            </w:r>
            <w:r>
              <w:t xml:space="preserve">the </w:t>
            </w:r>
            <w:r>
              <w:t>powers</w:t>
            </w:r>
            <w:r>
              <w:t xml:space="preserve"> </w:t>
            </w:r>
            <w:r>
              <w:t xml:space="preserve">a personal </w:t>
            </w:r>
            <w:r w:rsidRPr="0067004B">
              <w:t>representative of an estate</w:t>
            </w:r>
            <w:r>
              <w:t xml:space="preserve"> </w:t>
            </w:r>
            <w:r>
              <w:t xml:space="preserve">may exercise </w:t>
            </w:r>
            <w:r>
              <w:t xml:space="preserve">without </w:t>
            </w:r>
            <w:r w:rsidRPr="0067004B">
              <w:t>application to or order of the court</w:t>
            </w:r>
            <w:r>
              <w:t>:</w:t>
            </w:r>
            <w:r>
              <w:t xml:space="preserve"> </w:t>
            </w:r>
          </w:p>
          <w:p w:rsidR="00FD633D" w:rsidRDefault="00AC7B20" w:rsidP="00FD3E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hiring </w:t>
            </w:r>
            <w:r w:rsidRPr="0067004B">
              <w:t>an accountant, bookkeeper, or other tax professional to assist with any tax filing required for the decedent or the estate</w:t>
            </w:r>
            <w:r>
              <w:t>;</w:t>
            </w:r>
            <w:r>
              <w:t xml:space="preserve"> </w:t>
            </w:r>
          </w:p>
          <w:p w:rsidR="00FD633D" w:rsidRDefault="00AC7B20" w:rsidP="00FD3E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hiring </w:t>
            </w:r>
            <w:r w:rsidRPr="0067004B">
              <w:t>a real estate agent to assist</w:t>
            </w:r>
            <w:r w:rsidRPr="0067004B">
              <w:t xml:space="preserve"> with the marketing and selling of any real property of the estate</w:t>
            </w:r>
            <w:r>
              <w:t>;</w:t>
            </w:r>
          </w:p>
          <w:p w:rsidR="00FD633D" w:rsidRDefault="00AC7B20" w:rsidP="00FD3E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hiring </w:t>
            </w:r>
            <w:r w:rsidRPr="0067004B">
              <w:t>an appraiser to assist with any valuations required for estate property for which the court has not appointed an appraiser to appraise the property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8423E4" w:rsidRDefault="00AC7B20" w:rsidP="00C36CA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paying </w:t>
            </w:r>
            <w:r w:rsidRPr="0067004B">
              <w:t xml:space="preserve">all reasonable costs </w:t>
            </w:r>
            <w:r w:rsidRPr="0067004B">
              <w:t>necessary to exercise the personal representative's duty of care</w:t>
            </w:r>
            <w:r>
              <w:t xml:space="preserve"> and all reasonable costs related to the exercise of a power that does not require application to or order of the court</w:t>
            </w:r>
            <w:r>
              <w:t xml:space="preserve">. </w:t>
            </w:r>
          </w:p>
          <w:p w:rsidR="008423E4" w:rsidRPr="00835628" w:rsidRDefault="00AC7B20" w:rsidP="00FD3EA6">
            <w:pPr>
              <w:rPr>
                <w:b/>
              </w:rPr>
            </w:pPr>
          </w:p>
        </w:tc>
      </w:tr>
      <w:tr w:rsidR="00AB2638" w:rsidTr="00345119">
        <w:tc>
          <w:tcPr>
            <w:tcW w:w="9576" w:type="dxa"/>
          </w:tcPr>
          <w:p w:rsidR="008423E4" w:rsidRPr="00A8133F" w:rsidRDefault="00AC7B20" w:rsidP="00FD3E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7B20" w:rsidP="00FD3EA6"/>
          <w:p w:rsidR="008423E4" w:rsidRPr="003624F2" w:rsidRDefault="00AC7B20" w:rsidP="00FD3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C7B20" w:rsidP="00FD3EA6">
            <w:pPr>
              <w:rPr>
                <w:b/>
              </w:rPr>
            </w:pPr>
          </w:p>
        </w:tc>
      </w:tr>
    </w:tbl>
    <w:p w:rsidR="008423E4" w:rsidRPr="00BE0E75" w:rsidRDefault="00AC7B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C7B2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7B20">
      <w:r>
        <w:separator/>
      </w:r>
    </w:p>
  </w:endnote>
  <w:endnote w:type="continuationSeparator" w:id="0">
    <w:p w:rsidR="00000000" w:rsidRDefault="00AC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7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2638" w:rsidTr="009C1E9A">
      <w:trPr>
        <w:cantSplit/>
      </w:trPr>
      <w:tc>
        <w:tcPr>
          <w:tcW w:w="0" w:type="pct"/>
        </w:tcPr>
        <w:p w:rsidR="00137D90" w:rsidRDefault="00AC7B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7B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7B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7B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7B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2638" w:rsidTr="009C1E9A">
      <w:trPr>
        <w:cantSplit/>
      </w:trPr>
      <w:tc>
        <w:tcPr>
          <w:tcW w:w="0" w:type="pct"/>
        </w:tcPr>
        <w:p w:rsidR="00EC379B" w:rsidRDefault="00AC7B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7B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26527</w:t>
          </w:r>
        </w:p>
      </w:tc>
      <w:tc>
        <w:tcPr>
          <w:tcW w:w="2453" w:type="pct"/>
        </w:tcPr>
        <w:p w:rsidR="00EC379B" w:rsidRDefault="00AC7B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19.102.898</w:t>
          </w:r>
          <w:r>
            <w:fldChar w:fldCharType="end"/>
          </w:r>
        </w:p>
      </w:tc>
    </w:tr>
    <w:tr w:rsidR="00AB2638" w:rsidTr="009C1E9A">
      <w:trPr>
        <w:cantSplit/>
      </w:trPr>
      <w:tc>
        <w:tcPr>
          <w:tcW w:w="0" w:type="pct"/>
        </w:tcPr>
        <w:p w:rsidR="00EC379B" w:rsidRDefault="00AC7B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7B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7B20" w:rsidP="006D504F">
          <w:pPr>
            <w:pStyle w:val="Footer"/>
            <w:rPr>
              <w:rStyle w:val="PageNumber"/>
            </w:rPr>
          </w:pPr>
        </w:p>
        <w:p w:rsidR="00EC379B" w:rsidRDefault="00AC7B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26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7B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7B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7B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7B20">
      <w:r>
        <w:separator/>
      </w:r>
    </w:p>
  </w:footnote>
  <w:footnote w:type="continuationSeparator" w:id="0">
    <w:p w:rsidR="00000000" w:rsidRDefault="00AC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7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7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7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67A9"/>
    <w:multiLevelType w:val="hybridMultilevel"/>
    <w:tmpl w:val="0D143372"/>
    <w:lvl w:ilvl="0" w:tplc="0B38A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C2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4F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F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E1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CA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8C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20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AE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38"/>
    <w:rsid w:val="00AB2638"/>
    <w:rsid w:val="00A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1C8E54-C4FA-4E7E-8CE5-816BB5A7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71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1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1569</Characters>
  <Application>Microsoft Office Word</Application>
  <DocSecurity>4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HB02762 (Committee Report (Unamended))</vt:lpstr>
    </vt:vector>
  </TitlesOfParts>
  <Company>State of Texas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26527</dc:subject>
  <dc:creator>State of Texas</dc:creator>
  <dc:description>HB 2762 by Landgraf-(H)Judiciary &amp; Civil Jurisprudence</dc:description>
  <cp:lastModifiedBy>Stacey Nicchio</cp:lastModifiedBy>
  <cp:revision>2</cp:revision>
  <cp:lastPrinted>2003-11-26T17:21:00Z</cp:lastPrinted>
  <dcterms:created xsi:type="dcterms:W3CDTF">2019-04-26T20:38:00Z</dcterms:created>
  <dcterms:modified xsi:type="dcterms:W3CDTF">2019-04-26T20:38:00Z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19.102.898</vt:lpwstr>
  </property>
</Properties>
</file>