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4B15" w:rsidTr="00345119">
        <w:tc>
          <w:tcPr>
            <w:tcW w:w="9576" w:type="dxa"/>
            <w:noWrap/>
          </w:tcPr>
          <w:p w:rsidR="008423E4" w:rsidRPr="0022177D" w:rsidRDefault="00326F9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26F9A" w:rsidP="008423E4">
      <w:pPr>
        <w:jc w:val="center"/>
      </w:pPr>
    </w:p>
    <w:p w:rsidR="008423E4" w:rsidRPr="00B31F0E" w:rsidRDefault="00326F9A" w:rsidP="008423E4"/>
    <w:p w:rsidR="008423E4" w:rsidRPr="00742794" w:rsidRDefault="00326F9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4B15" w:rsidTr="00345119">
        <w:tc>
          <w:tcPr>
            <w:tcW w:w="9576" w:type="dxa"/>
          </w:tcPr>
          <w:p w:rsidR="008423E4" w:rsidRPr="00861995" w:rsidRDefault="00326F9A" w:rsidP="00345119">
            <w:pPr>
              <w:jc w:val="right"/>
            </w:pPr>
            <w:r>
              <w:t>C.S.H.B. 2766</w:t>
            </w:r>
          </w:p>
        </w:tc>
      </w:tr>
      <w:tr w:rsidR="00814B15" w:rsidTr="00345119">
        <w:tc>
          <w:tcPr>
            <w:tcW w:w="9576" w:type="dxa"/>
          </w:tcPr>
          <w:p w:rsidR="008423E4" w:rsidRPr="00861995" w:rsidRDefault="00326F9A" w:rsidP="002008FC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814B15" w:rsidTr="00345119">
        <w:tc>
          <w:tcPr>
            <w:tcW w:w="9576" w:type="dxa"/>
          </w:tcPr>
          <w:p w:rsidR="008423E4" w:rsidRPr="00861995" w:rsidRDefault="00326F9A" w:rsidP="00345119">
            <w:pPr>
              <w:jc w:val="right"/>
            </w:pPr>
            <w:r>
              <w:t>Public Health</w:t>
            </w:r>
          </w:p>
        </w:tc>
      </w:tr>
      <w:tr w:rsidR="00814B15" w:rsidTr="00345119">
        <w:tc>
          <w:tcPr>
            <w:tcW w:w="9576" w:type="dxa"/>
          </w:tcPr>
          <w:p w:rsidR="008423E4" w:rsidRDefault="00326F9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26F9A" w:rsidP="008423E4">
      <w:pPr>
        <w:tabs>
          <w:tab w:val="right" w:pos="9360"/>
        </w:tabs>
      </w:pPr>
    </w:p>
    <w:p w:rsidR="008423E4" w:rsidRDefault="00326F9A" w:rsidP="008423E4"/>
    <w:p w:rsidR="008423E4" w:rsidRDefault="00326F9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14B15" w:rsidTr="00345119">
        <w:tc>
          <w:tcPr>
            <w:tcW w:w="9576" w:type="dxa"/>
          </w:tcPr>
          <w:p w:rsidR="008423E4" w:rsidRPr="00A8133F" w:rsidRDefault="00326F9A" w:rsidP="001064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26F9A" w:rsidP="0010643E"/>
          <w:p w:rsidR="008423E4" w:rsidRDefault="00326F9A" w:rsidP="0010643E">
            <w:pPr>
              <w:pStyle w:val="Header"/>
              <w:jc w:val="both"/>
            </w:pPr>
            <w:r>
              <w:t>I</w:t>
            </w:r>
            <w:r>
              <w:t>t has been suggested that</w:t>
            </w:r>
            <w:r>
              <w:t xml:space="preserve"> </w:t>
            </w:r>
            <w:r>
              <w:t xml:space="preserve">misuse and abuse of many controlled substance prescription medications continues to be a growing problem in </w:t>
            </w:r>
            <w:r>
              <w:t>Texas</w:t>
            </w:r>
            <w:r>
              <w:t xml:space="preserve"> and that electronically prescribing such medications </w:t>
            </w:r>
            <w:r>
              <w:t>may</w:t>
            </w:r>
            <w:r>
              <w:t xml:space="preserve"> help combat the problem.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2766 seeks to </w:t>
            </w:r>
            <w:r>
              <w:t>address this issue by</w:t>
            </w:r>
            <w:r>
              <w:t>, among other things,</w:t>
            </w:r>
            <w:r>
              <w:t xml:space="preserve"> </w:t>
            </w:r>
            <w:r w:rsidRPr="00AE63DA">
              <w:t>prohibit</w:t>
            </w:r>
            <w:r>
              <w:t>ing</w:t>
            </w:r>
            <w:r w:rsidRPr="00AE63DA">
              <w:t xml:space="preserve"> a person </w:t>
            </w:r>
            <w:r w:rsidRPr="00E04AC5">
              <w:t>from dispensing</w:t>
            </w:r>
            <w:r w:rsidRPr="00AE63DA">
              <w:t xml:space="preserve"> or administering a</w:t>
            </w:r>
            <w:r w:rsidRPr="00E04AC5">
              <w:t xml:space="preserve"> controlled substance without an electronic pre</w:t>
            </w:r>
            <w:r w:rsidRPr="00E04AC5">
              <w:t>scription, with certain exceptions</w:t>
            </w:r>
            <w:r>
              <w:t xml:space="preserve">. </w:t>
            </w:r>
          </w:p>
          <w:p w:rsidR="008423E4" w:rsidRPr="00E26B13" w:rsidRDefault="00326F9A" w:rsidP="0010643E">
            <w:pPr>
              <w:rPr>
                <w:b/>
              </w:rPr>
            </w:pPr>
          </w:p>
        </w:tc>
      </w:tr>
      <w:tr w:rsidR="00814B15" w:rsidTr="00345119">
        <w:tc>
          <w:tcPr>
            <w:tcW w:w="9576" w:type="dxa"/>
          </w:tcPr>
          <w:p w:rsidR="0017725B" w:rsidRDefault="00326F9A" w:rsidP="001064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26F9A" w:rsidP="0010643E">
            <w:pPr>
              <w:rPr>
                <w:b/>
                <w:u w:val="single"/>
              </w:rPr>
            </w:pPr>
          </w:p>
          <w:p w:rsidR="00FC12B1" w:rsidRPr="00FC12B1" w:rsidRDefault="00326F9A" w:rsidP="0010643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</w:t>
            </w:r>
            <w:r>
              <w:t>bility of a person for community supervision, parole, or mandatory supervision.</w:t>
            </w:r>
          </w:p>
          <w:p w:rsidR="0017725B" w:rsidRPr="0017725B" w:rsidRDefault="00326F9A" w:rsidP="0010643E">
            <w:pPr>
              <w:rPr>
                <w:b/>
                <w:u w:val="single"/>
              </w:rPr>
            </w:pPr>
          </w:p>
        </w:tc>
      </w:tr>
      <w:tr w:rsidR="00814B15" w:rsidTr="00345119">
        <w:tc>
          <w:tcPr>
            <w:tcW w:w="9576" w:type="dxa"/>
          </w:tcPr>
          <w:p w:rsidR="008423E4" w:rsidRPr="00A8133F" w:rsidRDefault="00326F9A" w:rsidP="001064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26F9A" w:rsidP="0010643E"/>
          <w:p w:rsidR="00FC12B1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FC12B1">
              <w:t>Texas State Board of Pharmacy</w:t>
            </w:r>
            <w:r>
              <w:t xml:space="preserve"> in SECTIONS </w:t>
            </w:r>
            <w:r>
              <w:t xml:space="preserve">3, </w:t>
            </w:r>
            <w:r>
              <w:t xml:space="preserve">4, </w:t>
            </w:r>
            <w:r>
              <w:t>7</w:t>
            </w:r>
            <w:r>
              <w:t>,</w:t>
            </w:r>
            <w:r>
              <w:t xml:space="preserve"> and 11 of this bill</w:t>
            </w:r>
            <w:r>
              <w:t xml:space="preserve"> </w:t>
            </w:r>
            <w:r>
              <w:t xml:space="preserve">and </w:t>
            </w:r>
            <w:r>
              <w:t xml:space="preserve">to </w:t>
            </w:r>
            <w:r>
              <w:t xml:space="preserve">each </w:t>
            </w:r>
            <w:r w:rsidRPr="00BD2A40">
              <w:t>regulatory agency that issues a license, certification, or registration to a prescriber</w:t>
            </w:r>
            <w:r>
              <w:t xml:space="preserve"> </w:t>
            </w:r>
            <w:r>
              <w:t>in SECTION 7 of this bill.</w:t>
            </w:r>
          </w:p>
          <w:p w:rsidR="008423E4" w:rsidRPr="00E21FDC" w:rsidRDefault="00326F9A" w:rsidP="0010643E">
            <w:pPr>
              <w:rPr>
                <w:b/>
              </w:rPr>
            </w:pPr>
          </w:p>
        </w:tc>
      </w:tr>
      <w:tr w:rsidR="00814B15" w:rsidTr="00345119">
        <w:tc>
          <w:tcPr>
            <w:tcW w:w="9576" w:type="dxa"/>
          </w:tcPr>
          <w:p w:rsidR="008423E4" w:rsidRPr="00A8133F" w:rsidRDefault="00326F9A" w:rsidP="001064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26F9A" w:rsidP="0010643E"/>
          <w:p w:rsidR="00AF2698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2766 amends the Health and Safety Code to</w:t>
            </w:r>
            <w:r>
              <w:t xml:space="preserve"> </w:t>
            </w:r>
            <w:r w:rsidRPr="00AE63DA">
              <w:t xml:space="preserve">prohibit </w:t>
            </w:r>
            <w:r w:rsidRPr="00AE63DA">
              <w:t xml:space="preserve">a person </w:t>
            </w:r>
            <w:r w:rsidRPr="00E04AC5">
              <w:t xml:space="preserve">from </w:t>
            </w:r>
            <w:r w:rsidRPr="00E04AC5">
              <w:t>dispensing</w:t>
            </w:r>
            <w:r w:rsidRPr="00AE63DA">
              <w:t xml:space="preserve"> or adminis</w:t>
            </w:r>
            <w:r w:rsidRPr="00AE63DA">
              <w:t xml:space="preserve">tering </w:t>
            </w:r>
            <w:r w:rsidRPr="00AE63DA">
              <w:t>a</w:t>
            </w:r>
            <w:r w:rsidRPr="00E04AC5">
              <w:t xml:space="preserve"> controlled substance </w:t>
            </w:r>
            <w:r w:rsidRPr="00E04AC5">
              <w:t>without a</w:t>
            </w:r>
            <w:r w:rsidRPr="00E04AC5">
              <w:t>n electronic prescription</w:t>
            </w:r>
            <w:r w:rsidRPr="00E04AC5">
              <w:t>, with certain exceptions</w:t>
            </w:r>
            <w:r w:rsidRPr="005968C9">
              <w:t xml:space="preserve">. </w:t>
            </w:r>
            <w:r>
              <w:t xml:space="preserve">The bill retains exceptions for oral or telephonically communicated prescriptions in an emergency as defined by </w:t>
            </w:r>
            <w:r>
              <w:t xml:space="preserve">rule of the </w:t>
            </w:r>
            <w:r w:rsidRPr="005968C9">
              <w:t xml:space="preserve">Texas </w:t>
            </w:r>
            <w:r>
              <w:t>State Board of Pharmacy</w:t>
            </w:r>
            <w:r>
              <w:t xml:space="preserve"> (TSBP)</w:t>
            </w:r>
            <w:r>
              <w:t xml:space="preserve">, a </w:t>
            </w:r>
            <w:r>
              <w:t xml:space="preserve">medication order written for a patient who is admitted to a hospital at the time the medication order is written and filled, and certain prescriptions issued by a practitioner in another state. </w:t>
            </w:r>
            <w:r>
              <w:t xml:space="preserve">The bill </w:t>
            </w:r>
            <w:r w:rsidRPr="00A022A7">
              <w:t>limits the authority of a practitioner to designate a</w:t>
            </w:r>
            <w:r w:rsidRPr="00A022A7">
              <w:t xml:space="preserve">n agent to communicate a prescription by telephone to </w:t>
            </w:r>
            <w:r w:rsidRPr="00804ECB">
              <w:t>doing so in an</w:t>
            </w:r>
            <w:r w:rsidRPr="00A022A7">
              <w:t xml:space="preserve"> emergency</w:t>
            </w:r>
            <w:r>
              <w:t xml:space="preserve"> </w:t>
            </w:r>
            <w:r w:rsidRPr="00804ECB">
              <w:t xml:space="preserve">and </w:t>
            </w:r>
            <w:r>
              <w:t>repeals certain provisions relating to that authority</w:t>
            </w:r>
            <w:r>
              <w:t xml:space="preserve">. </w:t>
            </w:r>
          </w:p>
          <w:p w:rsidR="00AF2698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D7933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2766</w:t>
            </w:r>
            <w:r w:rsidRPr="005968C9">
              <w:t xml:space="preserve"> </w:t>
            </w:r>
            <w:r w:rsidRPr="005968C9">
              <w:t>establish</w:t>
            </w:r>
            <w:r>
              <w:t>es</w:t>
            </w:r>
            <w:r w:rsidRPr="005968C9">
              <w:t xml:space="preserve"> that a </w:t>
            </w:r>
            <w:r w:rsidRPr="008D56C9">
              <w:t>prescription</w:t>
            </w:r>
            <w:r w:rsidRPr="005968C9">
              <w:t xml:space="preserve"> for a</w:t>
            </w:r>
            <w:r w:rsidRPr="008D56C9">
              <w:t xml:space="preserve"> controlled substance is</w:t>
            </w:r>
            <w:r w:rsidRPr="008D56C9">
              <w:t xml:space="preserve"> </w:t>
            </w:r>
            <w:r w:rsidRPr="008D56C9">
              <w:t>not required to be issued electronically</w:t>
            </w:r>
            <w:r w:rsidRPr="008D56C9">
              <w:t xml:space="preserve"> and </w:t>
            </w:r>
            <w:r w:rsidRPr="00613059">
              <w:t>may</w:t>
            </w:r>
            <w:r w:rsidRPr="00613059">
              <w:t xml:space="preserve"> be issued in writing</w:t>
            </w:r>
            <w:r>
              <w:t xml:space="preserve"> </w:t>
            </w:r>
            <w:r>
              <w:t>for specified</w:t>
            </w:r>
            <w:r>
              <w:t xml:space="preserve"> practitioners</w:t>
            </w:r>
            <w:r>
              <w:t>, drugs, and circumstances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 w:rsidRPr="007C5310">
              <w:t xml:space="preserve">requires a practitioner to use a written prescription to submit </w:t>
            </w:r>
            <w:r w:rsidRPr="00AE63DA">
              <w:t xml:space="preserve">such </w:t>
            </w:r>
            <w:r w:rsidRPr="007C5310">
              <w:t>a</w:t>
            </w:r>
            <w:r w:rsidRPr="00AE63DA">
              <w:t xml:space="preserve"> </w:t>
            </w:r>
            <w:r w:rsidRPr="007C5310">
              <w:t>prescription</w:t>
            </w:r>
            <w:r>
              <w:t xml:space="preserve">, except in an emergency, in which case the </w:t>
            </w:r>
            <w:r w:rsidRPr="007C5310">
              <w:t>practitioner</w:t>
            </w:r>
            <w:r>
              <w:t xml:space="preserve"> may</w:t>
            </w:r>
            <w:r w:rsidRPr="007C5310">
              <w:t xml:space="preserve"> submit an oral or </w:t>
            </w:r>
            <w:r w:rsidRPr="007C5310">
              <w:t xml:space="preserve">telephonically communicated prescription. </w:t>
            </w:r>
            <w:r>
              <w:t xml:space="preserve">The bill </w:t>
            </w:r>
            <w:r>
              <w:t>establishes that</w:t>
            </w:r>
            <w:r>
              <w:t xml:space="preserve"> a dispensing pharmacist who receives a controlled substance prescription in a manner other than electronically </w:t>
            </w:r>
            <w:r>
              <w:t xml:space="preserve">is not required </w:t>
            </w:r>
            <w:r>
              <w:t>to verify that the prescription is exempt from the requirement that it be submitted electronically. The bill authorizes the pharmacist to dispense a controlled substance pursuant to an otherwise valid written, oral, or telephonically communicated prescript</w:t>
            </w:r>
            <w:r>
              <w:t xml:space="preserve">ion consistent </w:t>
            </w:r>
            <w:r w:rsidRPr="00613059">
              <w:t xml:space="preserve">with </w:t>
            </w:r>
            <w:r>
              <w:t>applicable</w:t>
            </w:r>
            <w:r w:rsidRPr="00613059">
              <w:t xml:space="preserve"> requirements</w:t>
            </w:r>
            <w:r>
              <w:t xml:space="preserve">. </w:t>
            </w:r>
          </w:p>
          <w:p w:rsidR="00FD7933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65F11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2766</w:t>
            </w:r>
            <w:r>
              <w:t xml:space="preserve"> specifies the information that a written prescription must include for Schedule II controlled substances and for other controlled substances and requires a written prescription for a Schedule II </w:t>
            </w:r>
            <w:r>
              <w:t>controlled substance to be on an official prescription form. The bill</w:t>
            </w:r>
            <w:r>
              <w:t xml:space="preserve"> </w:t>
            </w:r>
            <w:r>
              <w:t xml:space="preserve">requires the </w:t>
            </w:r>
            <w:r>
              <w:t>TSBP</w:t>
            </w:r>
            <w:r>
              <w:t xml:space="preserve"> by rule to authorize a practitioner to determine whether it is necessary to obtain a particular patient identification number and to provide that number on the official</w:t>
            </w:r>
            <w:r>
              <w:t xml:space="preserve"> prescription form</w:t>
            </w:r>
            <w:r>
              <w:t>. The bill</w:t>
            </w:r>
            <w:r w:rsidRPr="00613059">
              <w:t xml:space="preserve"> </w:t>
            </w:r>
            <w:r w:rsidRPr="00804ECB">
              <w:t>includes</w:t>
            </w:r>
            <w:r w:rsidRPr="00AE63DA">
              <w:t xml:space="preserve"> certain</w:t>
            </w:r>
            <w:r>
              <w:t xml:space="preserve"> existing</w:t>
            </w:r>
            <w:r w:rsidRPr="00804ECB">
              <w:t xml:space="preserve"> provisions relating to official prescription forms</w:t>
            </w:r>
            <w:r>
              <w:t>,</w:t>
            </w:r>
            <w:r>
              <w:t xml:space="preserve"> </w:t>
            </w:r>
            <w:r w:rsidRPr="00613059">
              <w:t xml:space="preserve">but </w:t>
            </w:r>
            <w:r>
              <w:t xml:space="preserve">the bill </w:t>
            </w:r>
            <w:r w:rsidRPr="00613059">
              <w:t xml:space="preserve">makes the requirement for the </w:t>
            </w:r>
            <w:r>
              <w:t>TSBP</w:t>
            </w:r>
            <w:r w:rsidRPr="00613059">
              <w:t xml:space="preserve"> </w:t>
            </w:r>
            <w:r w:rsidRPr="00613059">
              <w:t>to issue official prescription forms to a practitioner</w:t>
            </w:r>
            <w:r>
              <w:t xml:space="preserve"> for a fee</w:t>
            </w:r>
            <w:r w:rsidRPr="00613059">
              <w:t xml:space="preserve"> </w:t>
            </w:r>
            <w:r>
              <w:t>applicable only</w:t>
            </w:r>
            <w:r w:rsidRPr="00613059">
              <w:t xml:space="preserve"> on request of a prac</w:t>
            </w:r>
            <w:r w:rsidRPr="00613059">
              <w:t>titioner</w:t>
            </w:r>
            <w:r>
              <w:t xml:space="preserve"> and makes the prohibition against recording more than one controlled substance on an official prescription form applicable only to a Schedule II prescription</w:t>
            </w:r>
            <w:r w:rsidRPr="00613059">
              <w:t>.</w:t>
            </w:r>
            <w:r>
              <w:t xml:space="preserve"> </w:t>
            </w:r>
            <w:r>
              <w:t xml:space="preserve">The bill </w:t>
            </w:r>
            <w:r>
              <w:t>requires a prescribing practitioner, in the case of an emergency oral or teleph</w:t>
            </w:r>
            <w:r>
              <w:t>onically communicated prescription, to give the dispensing pharmacy the information needed to complete the official prescription form if the pharmacy is not required to use the electronic prescription record</w:t>
            </w:r>
            <w:r>
              <w:t xml:space="preserve"> and sets out certain requirements for</w:t>
            </w:r>
            <w:r>
              <w:t xml:space="preserve"> a dispensi</w:t>
            </w:r>
            <w:r>
              <w:t xml:space="preserve">ng pharmacist receiving </w:t>
            </w:r>
            <w:r>
              <w:t xml:space="preserve">such </w:t>
            </w:r>
            <w:r>
              <w:t xml:space="preserve">an oral or telephonically communicated prescription. </w:t>
            </w:r>
          </w:p>
          <w:p w:rsidR="00165F11" w:rsidRDefault="00326F9A" w:rsidP="0010643E">
            <w:pPr>
              <w:pStyle w:val="Header"/>
              <w:jc w:val="both"/>
            </w:pPr>
          </w:p>
          <w:p w:rsidR="00804ECB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2766</w:t>
            </w:r>
            <w:r>
              <w:t xml:space="preserve"> authorizes the appropriate regulatory agency that issued the license, certification, or registration to a prescriber to grant a prescriber a waiver from the e</w:t>
            </w:r>
            <w:r>
              <w:t xml:space="preserve">lectronic prescribing requirement. </w:t>
            </w:r>
            <w:r w:rsidRPr="00613059">
              <w:t xml:space="preserve">The bill requires the </w:t>
            </w:r>
            <w:r>
              <w:t>TSBP</w:t>
            </w:r>
            <w:r w:rsidRPr="00613059">
              <w:t xml:space="preserve"> to conv</w:t>
            </w:r>
            <w:r w:rsidRPr="00804ECB">
              <w:t>ene an interagency workgroup</w:t>
            </w:r>
            <w:r w:rsidRPr="00804ECB">
              <w:t xml:space="preserve"> that includes representatives of each </w:t>
            </w:r>
            <w:r>
              <w:t>applicable</w:t>
            </w:r>
            <w:r w:rsidRPr="00613059">
              <w:t xml:space="preserve"> regulatory agency</w:t>
            </w:r>
            <w:r w:rsidRPr="00613059">
              <w:t xml:space="preserve"> </w:t>
            </w:r>
            <w:r>
              <w:t xml:space="preserve">and imposes certain duties on the workgroup </w:t>
            </w:r>
            <w:r w:rsidRPr="00AE63DA">
              <w:t>relating to</w:t>
            </w:r>
            <w:r>
              <w:t xml:space="preserve"> the development of</w:t>
            </w:r>
            <w:r w:rsidRPr="00AE63DA">
              <w:t xml:space="preserve"> waiver</w:t>
            </w:r>
            <w:r w:rsidRPr="00AE63DA">
              <w:t xml:space="preserve"> procedures</w:t>
            </w:r>
            <w:r w:rsidRPr="00613059">
              <w:t>.</w:t>
            </w:r>
            <w:r>
              <w:t xml:space="preserve"> </w:t>
            </w:r>
            <w:r>
              <w:t xml:space="preserve">The bill requires the </w:t>
            </w:r>
            <w:r>
              <w:t xml:space="preserve">TSBP </w:t>
            </w:r>
            <w:r>
              <w:t xml:space="preserve">to adopt rules establishing the eligibility for </w:t>
            </w:r>
            <w:r>
              <w:t>a</w:t>
            </w:r>
            <w:r>
              <w:t xml:space="preserve"> waiver</w:t>
            </w:r>
            <w:r>
              <w:t xml:space="preserve"> and</w:t>
            </w:r>
            <w:r>
              <w:t xml:space="preserve"> requires each applicable regulatory agency</w:t>
            </w:r>
            <w:r>
              <w:t xml:space="preserve"> to adopt rules for </w:t>
            </w:r>
            <w:r>
              <w:t xml:space="preserve">the </w:t>
            </w:r>
            <w:r>
              <w:t xml:space="preserve">granting </w:t>
            </w:r>
            <w:r>
              <w:t xml:space="preserve">of </w:t>
            </w:r>
            <w:r>
              <w:t xml:space="preserve">waivers consistent with the </w:t>
            </w:r>
            <w:r>
              <w:t xml:space="preserve">TSBP </w:t>
            </w:r>
            <w:r>
              <w:t>rules</w:t>
            </w:r>
            <w:r>
              <w:t xml:space="preserve">. The bill authorizes the issuance of </w:t>
            </w:r>
            <w:r>
              <w:t>a</w:t>
            </w:r>
            <w:r>
              <w:t xml:space="preserve"> waiver to a prescriber for a period of one year and authorizes the prescriber, on expiration of the waiver, to reapply for the waiver if the circumstances that necessitated the waiver continue.</w:t>
            </w:r>
          </w:p>
          <w:p w:rsidR="00804ECB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00799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2766 </w:t>
            </w:r>
            <w:r>
              <w:t>requires electronic delivery of the prescripti</w:t>
            </w:r>
            <w:r>
              <w:t>on that a physician authorizing</w:t>
            </w:r>
            <w:r w:rsidRPr="007C5310">
              <w:t xml:space="preserve"> an emergency oral or telephonically </w:t>
            </w:r>
            <w:r>
              <w:t xml:space="preserve">communicated </w:t>
            </w:r>
            <w:r w:rsidRPr="007C5310">
              <w:t xml:space="preserve">prescription </w:t>
            </w:r>
            <w:r>
              <w:t xml:space="preserve">is required to </w:t>
            </w:r>
            <w:r>
              <w:t xml:space="preserve">provide </w:t>
            </w:r>
            <w:r>
              <w:t>to the dispensing pharmacist not later than the seventh day after the emergency prescription</w:t>
            </w:r>
            <w:r w:rsidRPr="007C5310">
              <w:t>.</w:t>
            </w:r>
            <w:r>
              <w:t xml:space="preserve"> The bill</w:t>
            </w:r>
            <w:r w:rsidRPr="004B573E">
              <w:t xml:space="preserve"> replaces provisions specifying certa</w:t>
            </w:r>
            <w:r w:rsidRPr="004B573E">
              <w:t>in conditions under which the partial filling of a prescription for a Schedule II controlled substance is permissible with the specification that such partial filling is permissible in accordance with federal law</w:t>
            </w:r>
            <w:r>
              <w:t>. The bill</w:t>
            </w:r>
            <w:r w:rsidRPr="004B573E">
              <w:t xml:space="preserve"> repeals provisions </w:t>
            </w:r>
            <w:r>
              <w:t>authorizing a</w:t>
            </w:r>
            <w:r w:rsidRPr="004B573E">
              <w:t xml:space="preserve"> </w:t>
            </w:r>
            <w:r w:rsidRPr="004B573E">
              <w:t>pharmacist to dispense a Schedule II controlled substance pursuant to a facsimile copy of an official prescription</w:t>
            </w:r>
            <w:r>
              <w:t xml:space="preserve"> under certain circumstances</w:t>
            </w:r>
            <w:r w:rsidRPr="004B573E">
              <w:t>.</w:t>
            </w:r>
          </w:p>
          <w:p w:rsidR="00774944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60AFD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2766 </w:t>
            </w:r>
            <w:r>
              <w:t>includes</w:t>
            </w:r>
            <w:r>
              <w:t xml:space="preserve"> the bill's provisions relating to </w:t>
            </w:r>
            <w:r w:rsidRPr="00AF3761">
              <w:t>written, oral, and telephonically communicated prescri</w:t>
            </w:r>
            <w:r w:rsidRPr="00AF3761">
              <w:t>ptions</w:t>
            </w:r>
            <w:r>
              <w:t xml:space="preserve"> and </w:t>
            </w:r>
            <w:r>
              <w:t xml:space="preserve">relating to </w:t>
            </w:r>
            <w:r>
              <w:t xml:space="preserve">waivers </w:t>
            </w:r>
            <w:r>
              <w:t xml:space="preserve">from electronic prescribing among the provisions of the Texas Controlled Substances Act </w:t>
            </w:r>
            <w:r>
              <w:t>for</w:t>
            </w:r>
            <w:r>
              <w:t xml:space="preserve"> which </w:t>
            </w:r>
            <w:r>
              <w:t xml:space="preserve">director of the </w:t>
            </w:r>
            <w:r w:rsidRPr="00A00799">
              <w:t>Department of Public Safety</w:t>
            </w:r>
            <w:r>
              <w:t xml:space="preserve"> does not have</w:t>
            </w:r>
            <w:r>
              <w:t xml:space="preserve"> rulemaking authority</w:t>
            </w:r>
            <w:r>
              <w:t xml:space="preserve"> and </w:t>
            </w:r>
            <w:r>
              <w:t>include</w:t>
            </w:r>
            <w:r>
              <w:t>s</w:t>
            </w:r>
            <w:r>
              <w:t xml:space="preserve"> those bill provisions among </w:t>
            </w:r>
            <w:r>
              <w:t xml:space="preserve">the provisions of the act for which </w:t>
            </w:r>
            <w:r w:rsidRPr="00165F11">
              <w:t xml:space="preserve">the </w:t>
            </w:r>
            <w:r>
              <w:t>TSBP has rulemaking authority.</w:t>
            </w:r>
          </w:p>
          <w:p w:rsidR="00360AFD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8673B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AE63DA">
              <w:t>H</w:t>
            </w:r>
            <w:r w:rsidRPr="00045266">
              <w:t>.</w:t>
            </w:r>
            <w:r w:rsidRPr="00E04AC5">
              <w:t>B. 2766</w:t>
            </w:r>
            <w:r w:rsidRPr="00E04AC5">
              <w:t xml:space="preserve"> </w:t>
            </w:r>
            <w:r>
              <w:t xml:space="preserve">clarifies </w:t>
            </w:r>
            <w:r w:rsidRPr="00E04AC5">
              <w:t xml:space="preserve">the </w:t>
            </w:r>
            <w:r>
              <w:t>violations</w:t>
            </w:r>
            <w:r w:rsidRPr="00E04AC5">
              <w:t xml:space="preserve"> that </w:t>
            </w:r>
            <w:r>
              <w:t>constitute</w:t>
            </w:r>
            <w:r w:rsidRPr="00E04AC5">
              <w:t xml:space="preserve"> an </w:t>
            </w:r>
            <w:r w:rsidRPr="00E04AC5">
              <w:t>offense</w:t>
            </w:r>
            <w:r w:rsidRPr="00E04AC5">
              <w:t xml:space="preserve"> </w:t>
            </w:r>
            <w:r w:rsidRPr="00E04AC5">
              <w:t xml:space="preserve">involving the distribution, delivery, administration, or dispensation of </w:t>
            </w:r>
            <w:r w:rsidRPr="00E04AC5">
              <w:t>a controlled substance</w:t>
            </w:r>
            <w:r>
              <w:t xml:space="preserve"> to </w:t>
            </w:r>
            <w:r>
              <w:t>reflect the provisi</w:t>
            </w:r>
            <w:r>
              <w:t>ons added by the bill</w:t>
            </w:r>
            <w:r w:rsidRPr="00E04AC5">
              <w:t>.</w:t>
            </w:r>
            <w:r>
              <w:t xml:space="preserve"> The bill expands the conduct that constitutes a fraud </w:t>
            </w:r>
            <w:r>
              <w:t>offense</w:t>
            </w:r>
            <w:r>
              <w:t xml:space="preserve"> </w:t>
            </w:r>
            <w:r w:rsidRPr="00E04AC5">
              <w:t xml:space="preserve">under </w:t>
            </w:r>
            <w:r>
              <w:t>the Texas Controlled Substances Act</w:t>
            </w:r>
            <w:r w:rsidRPr="004D4C40">
              <w:t xml:space="preserve"> to include </w:t>
            </w:r>
            <w:r>
              <w:t xml:space="preserve">knowingly </w:t>
            </w:r>
            <w:r w:rsidRPr="004D4C40">
              <w:t>possessing, obtaining, or attempting to possess or obtain a controlled substance or an increased quantity of</w:t>
            </w:r>
            <w:r w:rsidRPr="004D4C40">
              <w:t xml:space="preserve"> a controlled substance through the use of a fraudulent electronic prescription.</w:t>
            </w:r>
          </w:p>
          <w:p w:rsidR="00165F11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C4265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2766 amends the Government Code to </w:t>
            </w:r>
            <w:r>
              <w:t>clarify</w:t>
            </w:r>
            <w:r w:rsidRPr="00165F11">
              <w:t xml:space="preserve"> </w:t>
            </w:r>
            <w:r w:rsidRPr="00165F11">
              <w:t xml:space="preserve">that </w:t>
            </w:r>
            <w:r>
              <w:t xml:space="preserve">information collected under the bill's provisions relating to written, oral, and telephonically communicated prescriptions </w:t>
            </w:r>
            <w:r w:rsidRPr="00165F11">
              <w:t>is ex</w:t>
            </w:r>
            <w:r>
              <w:t>cepted</w:t>
            </w:r>
            <w:r w:rsidRPr="00165F11">
              <w:t xml:space="preserve"> </w:t>
            </w:r>
            <w:r>
              <w:t>from the public</w:t>
            </w:r>
            <w:r w:rsidRPr="00165F11">
              <w:t xml:space="preserve"> availability </w:t>
            </w:r>
            <w:r>
              <w:t xml:space="preserve">requirement </w:t>
            </w:r>
            <w:r w:rsidRPr="00165F11">
              <w:t xml:space="preserve">of </w:t>
            </w:r>
            <w:r>
              <w:t xml:space="preserve">state </w:t>
            </w:r>
            <w:r w:rsidRPr="00165F11">
              <w:t>public information</w:t>
            </w:r>
            <w:r>
              <w:t xml:space="preserve"> law</w:t>
            </w:r>
            <w:r w:rsidRPr="00165F11">
              <w:t>.</w:t>
            </w:r>
          </w:p>
          <w:p w:rsidR="00165F11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507CA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2766 amends the Occupations Code to</w:t>
            </w:r>
            <w:r>
              <w:t xml:space="preserve"> i</w:t>
            </w:r>
            <w:r>
              <w:t>nclude</w:t>
            </w:r>
            <w:r>
              <w:t xml:space="preserve"> </w:t>
            </w:r>
            <w:r>
              <w:t>the bill's provisions relating to</w:t>
            </w:r>
            <w:r>
              <w:t xml:space="preserve"> </w:t>
            </w:r>
            <w:r w:rsidRPr="00AF3761">
              <w:t>written, oral, and telephonically communicated prescriptions</w:t>
            </w:r>
            <w:r>
              <w:t xml:space="preserve"> and relating to waivers from electronic prescribing</w:t>
            </w:r>
            <w:r>
              <w:t xml:space="preserve"> among the provisions of the Texas Controlled Substances Act for which </w:t>
            </w:r>
            <w:r w:rsidRPr="00165F11">
              <w:t xml:space="preserve">the </w:t>
            </w:r>
            <w:r>
              <w:t>TSBP</w:t>
            </w:r>
            <w:r>
              <w:t xml:space="preserve"> has rulemaking authorit</w:t>
            </w:r>
            <w:r>
              <w:t>y</w:t>
            </w:r>
            <w:r>
              <w:t>. The bill</w:t>
            </w:r>
            <w:r>
              <w:t xml:space="preserve"> includes</w:t>
            </w:r>
            <w:r>
              <w:t xml:space="preserve"> failure to comply with those provisions among the grounds on which the</w:t>
            </w:r>
            <w:r>
              <w:t xml:space="preserve"> </w:t>
            </w:r>
            <w:r>
              <w:t xml:space="preserve">TSBP </w:t>
            </w:r>
            <w:r>
              <w:t>may</w:t>
            </w:r>
            <w:r>
              <w:t xml:space="preserve"> </w:t>
            </w:r>
            <w:r w:rsidRPr="00FC4265">
              <w:t>discipline an applicant</w:t>
            </w:r>
            <w:r>
              <w:t xml:space="preserve"> for or the holder of a nonresident pharmacy license</w:t>
            </w:r>
            <w:r>
              <w:t>.</w:t>
            </w:r>
          </w:p>
          <w:p w:rsidR="004D4C40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D4C40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2766 repeals the following </w:t>
            </w:r>
            <w:r>
              <w:t xml:space="preserve">provisions of the </w:t>
            </w:r>
            <w:r>
              <w:t>Health and Safety Code:</w:t>
            </w:r>
          </w:p>
          <w:p w:rsidR="004D4C40" w:rsidRDefault="00326F9A" w:rsidP="0010643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481.073</w:t>
            </w:r>
          </w:p>
          <w:p w:rsidR="004D4C40" w:rsidRDefault="00326F9A" w:rsidP="0010643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</w:t>
            </w:r>
            <w:r>
              <w:t>s</w:t>
            </w:r>
            <w:r>
              <w:t xml:space="preserve"> 481.074(o) and (p)</w:t>
            </w:r>
          </w:p>
          <w:p w:rsidR="004D4C40" w:rsidRDefault="00326F9A" w:rsidP="0010643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</w:t>
            </w:r>
            <w:r>
              <w:t>s</w:t>
            </w:r>
            <w:r>
              <w:t xml:space="preserve"> </w:t>
            </w:r>
            <w:r w:rsidRPr="004D4C40">
              <w:t>481.075(b), (c), (d), (f), (k), and (l)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326F9A" w:rsidP="0010643E">
            <w:pPr>
              <w:rPr>
                <w:b/>
              </w:rPr>
            </w:pPr>
          </w:p>
        </w:tc>
      </w:tr>
      <w:tr w:rsidR="00814B15" w:rsidTr="00345119">
        <w:tc>
          <w:tcPr>
            <w:tcW w:w="9576" w:type="dxa"/>
          </w:tcPr>
          <w:p w:rsidR="008423E4" w:rsidRPr="00A8133F" w:rsidRDefault="00326F9A" w:rsidP="001064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26F9A" w:rsidP="0010643E"/>
          <w:p w:rsidR="008423E4" w:rsidRPr="003624F2" w:rsidRDefault="00326F9A" w:rsidP="00106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</w:t>
            </w:r>
            <w:r w:rsidRPr="004E632C">
              <w:t xml:space="preserve"> </w:t>
            </w:r>
            <w:r w:rsidRPr="004E632C">
              <w:t>1, 2021.</w:t>
            </w:r>
          </w:p>
          <w:p w:rsidR="008423E4" w:rsidRPr="00233FDB" w:rsidRDefault="00326F9A" w:rsidP="0010643E">
            <w:pPr>
              <w:rPr>
                <w:b/>
              </w:rPr>
            </w:pPr>
          </w:p>
        </w:tc>
      </w:tr>
      <w:tr w:rsidR="00814B15" w:rsidTr="00345119">
        <w:tc>
          <w:tcPr>
            <w:tcW w:w="9576" w:type="dxa"/>
          </w:tcPr>
          <w:p w:rsidR="002008FC" w:rsidRDefault="00326F9A" w:rsidP="0010643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609E3" w:rsidRDefault="00326F9A" w:rsidP="0010643E">
            <w:pPr>
              <w:jc w:val="both"/>
            </w:pPr>
          </w:p>
          <w:p w:rsidR="00C609E3" w:rsidRDefault="00326F9A" w:rsidP="0010643E">
            <w:pPr>
              <w:jc w:val="both"/>
            </w:pPr>
            <w:r>
              <w:t>While C.S.H.B. 2766 may differ from the original in minor or nonsubstantive ways,</w:t>
            </w:r>
            <w:r>
              <w:t xml:space="preserve"> the following summarizes the substantial differences between the introduced and committee substitute versions of the bill.</w:t>
            </w:r>
          </w:p>
          <w:p w:rsidR="00C609E3" w:rsidRDefault="00326F9A" w:rsidP="0010643E">
            <w:pPr>
              <w:jc w:val="both"/>
            </w:pPr>
          </w:p>
          <w:p w:rsidR="00035430" w:rsidRDefault="00326F9A" w:rsidP="0010643E">
            <w:pPr>
              <w:jc w:val="both"/>
            </w:pPr>
            <w:r>
              <w:t>The substitute does not include a provision establishing that a prescription for a controlled substance is not required to be issue</w:t>
            </w:r>
            <w:r>
              <w:t xml:space="preserve">d electronically and may be issued in writing if the prescription is issued before </w:t>
            </w:r>
            <w:r w:rsidRPr="00C609E3">
              <w:t>January 1, 2021</w:t>
            </w:r>
            <w:r>
              <w:t xml:space="preserve">. </w:t>
            </w:r>
          </w:p>
          <w:p w:rsidR="00035430" w:rsidRDefault="00326F9A" w:rsidP="0010643E">
            <w:pPr>
              <w:jc w:val="both"/>
            </w:pPr>
          </w:p>
          <w:p w:rsidR="00C609E3" w:rsidRDefault="00326F9A" w:rsidP="0010643E">
            <w:pPr>
              <w:jc w:val="both"/>
            </w:pPr>
            <w:r>
              <w:t xml:space="preserve">The substitute changes the effective date of the bill. </w:t>
            </w:r>
          </w:p>
          <w:p w:rsidR="00C609E3" w:rsidRDefault="00326F9A" w:rsidP="0010643E">
            <w:pPr>
              <w:jc w:val="both"/>
            </w:pPr>
          </w:p>
          <w:p w:rsidR="00C609E3" w:rsidRDefault="00326F9A" w:rsidP="0010643E">
            <w:pPr>
              <w:jc w:val="both"/>
            </w:pPr>
          </w:p>
          <w:p w:rsidR="00C609E3" w:rsidRPr="00C609E3" w:rsidRDefault="00326F9A" w:rsidP="0010643E">
            <w:pPr>
              <w:jc w:val="both"/>
            </w:pPr>
          </w:p>
        </w:tc>
      </w:tr>
    </w:tbl>
    <w:p w:rsidR="008423E4" w:rsidRPr="00BE0E75" w:rsidRDefault="00326F9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26F9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6F9A">
      <w:r>
        <w:separator/>
      </w:r>
    </w:p>
  </w:endnote>
  <w:endnote w:type="continuationSeparator" w:id="0">
    <w:p w:rsidR="00000000" w:rsidRDefault="0032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6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4B15" w:rsidTr="009C1E9A">
      <w:trPr>
        <w:cantSplit/>
      </w:trPr>
      <w:tc>
        <w:tcPr>
          <w:tcW w:w="0" w:type="pct"/>
        </w:tcPr>
        <w:p w:rsidR="00137D90" w:rsidRDefault="00326F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26F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26F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26F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26F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4B15" w:rsidTr="009C1E9A">
      <w:trPr>
        <w:cantSplit/>
      </w:trPr>
      <w:tc>
        <w:tcPr>
          <w:tcW w:w="0" w:type="pct"/>
        </w:tcPr>
        <w:p w:rsidR="00EC379B" w:rsidRDefault="00326F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26F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28649</w:t>
          </w:r>
        </w:p>
      </w:tc>
      <w:tc>
        <w:tcPr>
          <w:tcW w:w="2453" w:type="pct"/>
        </w:tcPr>
        <w:p w:rsidR="00EC379B" w:rsidRDefault="00326F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19.109.364</w:t>
          </w:r>
          <w:r>
            <w:fldChar w:fldCharType="end"/>
          </w:r>
        </w:p>
      </w:tc>
    </w:tr>
    <w:tr w:rsidR="00814B15" w:rsidTr="009C1E9A">
      <w:trPr>
        <w:cantSplit/>
      </w:trPr>
      <w:tc>
        <w:tcPr>
          <w:tcW w:w="0" w:type="pct"/>
        </w:tcPr>
        <w:p w:rsidR="00EC379B" w:rsidRDefault="00326F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26F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19798</w:t>
          </w:r>
        </w:p>
      </w:tc>
      <w:tc>
        <w:tcPr>
          <w:tcW w:w="2453" w:type="pct"/>
        </w:tcPr>
        <w:p w:rsidR="00EC379B" w:rsidRDefault="00326F9A" w:rsidP="006D504F">
          <w:pPr>
            <w:pStyle w:val="Footer"/>
            <w:rPr>
              <w:rStyle w:val="PageNumber"/>
            </w:rPr>
          </w:pPr>
        </w:p>
        <w:p w:rsidR="00EC379B" w:rsidRDefault="00326F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4B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26F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326F9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26F9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6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6F9A">
      <w:r>
        <w:separator/>
      </w:r>
    </w:p>
  </w:footnote>
  <w:footnote w:type="continuationSeparator" w:id="0">
    <w:p w:rsidR="00000000" w:rsidRDefault="0032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6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6F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6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E22"/>
    <w:multiLevelType w:val="hybridMultilevel"/>
    <w:tmpl w:val="6A469766"/>
    <w:lvl w:ilvl="0" w:tplc="92787A7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0B403E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2ACE56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F2000F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DE2832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48F89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FA6C31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028743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34ABE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7751763"/>
    <w:multiLevelType w:val="hybridMultilevel"/>
    <w:tmpl w:val="E29AEE78"/>
    <w:lvl w:ilvl="0" w:tplc="9572B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EC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0D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04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63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E8C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A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2A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AD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15"/>
    <w:rsid w:val="00326F9A"/>
    <w:rsid w:val="008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2427E1-7E44-42A7-8EE8-701E701C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51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5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51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1BE"/>
    <w:rPr>
      <w:b/>
      <w:bCs/>
    </w:rPr>
  </w:style>
  <w:style w:type="paragraph" w:styleId="Revision">
    <w:name w:val="Revision"/>
    <w:hidden/>
    <w:uiPriority w:val="99"/>
    <w:semiHidden/>
    <w:rsid w:val="00AF293D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3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3E28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6A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6898</Characters>
  <Application>Microsoft Office Word</Application>
  <DocSecurity>4</DocSecurity>
  <Lines>136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HB02766 (Committee Report (Substituted))</vt:lpstr>
    </vt:vector>
  </TitlesOfParts>
  <Company>State of Texas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28649</dc:subject>
  <dc:creator>State of Texas</dc:creator>
  <dc:description>HB 2766 by Zerwas-(H)Public Health (Substitute Document Number: 86R 19798)</dc:description>
  <cp:lastModifiedBy>Laura Ramsay</cp:lastModifiedBy>
  <cp:revision>2</cp:revision>
  <cp:lastPrinted>2019-03-17T18:27:00Z</cp:lastPrinted>
  <dcterms:created xsi:type="dcterms:W3CDTF">2019-04-25T00:39:00Z</dcterms:created>
  <dcterms:modified xsi:type="dcterms:W3CDTF">2019-04-25T00:39:00Z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19.109.364</vt:lpwstr>
  </property>
</Properties>
</file>