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0C2A" w:rsidTr="00345119">
        <w:tc>
          <w:tcPr>
            <w:tcW w:w="9576" w:type="dxa"/>
            <w:noWrap/>
          </w:tcPr>
          <w:p w:rsidR="008423E4" w:rsidRPr="0022177D" w:rsidRDefault="00B953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53BD" w:rsidP="008423E4">
      <w:pPr>
        <w:jc w:val="center"/>
      </w:pPr>
    </w:p>
    <w:p w:rsidR="008423E4" w:rsidRPr="00B31F0E" w:rsidRDefault="00B953BD" w:rsidP="008423E4"/>
    <w:p w:rsidR="008423E4" w:rsidRPr="00742794" w:rsidRDefault="00B953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0C2A" w:rsidTr="00345119">
        <w:tc>
          <w:tcPr>
            <w:tcW w:w="9576" w:type="dxa"/>
          </w:tcPr>
          <w:p w:rsidR="008423E4" w:rsidRPr="00861995" w:rsidRDefault="00B953BD" w:rsidP="00345119">
            <w:pPr>
              <w:jc w:val="right"/>
            </w:pPr>
            <w:r>
              <w:t>C.S.H.B. 2771</w:t>
            </w:r>
          </w:p>
        </w:tc>
      </w:tr>
      <w:tr w:rsidR="005C0C2A" w:rsidTr="00345119">
        <w:tc>
          <w:tcPr>
            <w:tcW w:w="9576" w:type="dxa"/>
          </w:tcPr>
          <w:p w:rsidR="008423E4" w:rsidRPr="00861995" w:rsidRDefault="00B953BD" w:rsidP="007D0E62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5C0C2A" w:rsidTr="00345119">
        <w:tc>
          <w:tcPr>
            <w:tcW w:w="9576" w:type="dxa"/>
          </w:tcPr>
          <w:p w:rsidR="008423E4" w:rsidRPr="00861995" w:rsidRDefault="00B953BD" w:rsidP="00345119">
            <w:pPr>
              <w:jc w:val="right"/>
            </w:pPr>
            <w:r>
              <w:t>Environmental Regulation</w:t>
            </w:r>
          </w:p>
        </w:tc>
      </w:tr>
      <w:tr w:rsidR="005C0C2A" w:rsidTr="00345119">
        <w:tc>
          <w:tcPr>
            <w:tcW w:w="9576" w:type="dxa"/>
          </w:tcPr>
          <w:p w:rsidR="008423E4" w:rsidRDefault="00B953B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953BD" w:rsidP="008423E4">
      <w:pPr>
        <w:tabs>
          <w:tab w:val="right" w:pos="9360"/>
        </w:tabs>
      </w:pPr>
    </w:p>
    <w:p w:rsidR="008423E4" w:rsidRDefault="00B953BD" w:rsidP="008423E4"/>
    <w:p w:rsidR="008423E4" w:rsidRDefault="00B953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0C2A" w:rsidTr="00345119">
        <w:tc>
          <w:tcPr>
            <w:tcW w:w="9576" w:type="dxa"/>
          </w:tcPr>
          <w:p w:rsidR="008423E4" w:rsidRPr="00A8133F" w:rsidRDefault="00B953BD" w:rsidP="00970F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53BD" w:rsidP="00970F2D"/>
          <w:p w:rsidR="008423E4" w:rsidRDefault="00B953BD" w:rsidP="00970F2D">
            <w:pPr>
              <w:pStyle w:val="Header"/>
              <w:jc w:val="both"/>
            </w:pPr>
            <w:r>
              <w:t xml:space="preserve">There have been calls for the state to do more to regulate the discharge of certain pollutants from oil and gas activities into the water in Texas. </w:t>
            </w:r>
            <w:r>
              <w:t>C.S.</w:t>
            </w:r>
            <w:r>
              <w:t xml:space="preserve">H.B. 2771 seeks to answer those calls by </w:t>
            </w:r>
            <w:r>
              <w:t xml:space="preserve">giving the Texas Commission on Environmental Quality the power </w:t>
            </w:r>
            <w:r>
              <w:t>it needs</w:t>
            </w:r>
            <w:r>
              <w:t xml:space="preserve"> to </w:t>
            </w:r>
            <w:r>
              <w:t>ensure that c</w:t>
            </w:r>
            <w:r>
              <w:t xml:space="preserve">ertain water and effluent </w:t>
            </w:r>
            <w:r>
              <w:t>discharged into</w:t>
            </w:r>
            <w:r>
              <w:t xml:space="preserve"> the water in Texa</w:t>
            </w:r>
            <w:r>
              <w:t xml:space="preserve">s </w:t>
            </w:r>
            <w:r>
              <w:t>meet established water quality standards.</w:t>
            </w:r>
          </w:p>
          <w:p w:rsidR="008423E4" w:rsidRPr="00E26B13" w:rsidRDefault="00B953BD" w:rsidP="00970F2D">
            <w:pPr>
              <w:rPr>
                <w:b/>
              </w:rPr>
            </w:pPr>
          </w:p>
        </w:tc>
      </w:tr>
      <w:tr w:rsidR="005C0C2A" w:rsidTr="00345119">
        <w:tc>
          <w:tcPr>
            <w:tcW w:w="9576" w:type="dxa"/>
          </w:tcPr>
          <w:p w:rsidR="0017725B" w:rsidRDefault="00B953BD" w:rsidP="00970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53BD" w:rsidP="00970F2D">
            <w:pPr>
              <w:rPr>
                <w:b/>
                <w:u w:val="single"/>
              </w:rPr>
            </w:pPr>
          </w:p>
          <w:p w:rsidR="00B55F35" w:rsidRPr="00B55F35" w:rsidRDefault="00B953BD" w:rsidP="00970F2D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953BD" w:rsidP="00970F2D">
            <w:pPr>
              <w:rPr>
                <w:b/>
                <w:u w:val="single"/>
              </w:rPr>
            </w:pPr>
          </w:p>
        </w:tc>
      </w:tr>
      <w:tr w:rsidR="005C0C2A" w:rsidTr="00345119">
        <w:tc>
          <w:tcPr>
            <w:tcW w:w="9576" w:type="dxa"/>
          </w:tcPr>
          <w:p w:rsidR="008423E4" w:rsidRPr="00A8133F" w:rsidRDefault="00B953BD" w:rsidP="00970F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53BD" w:rsidP="00970F2D"/>
          <w:p w:rsidR="00B55F35" w:rsidRDefault="00B953BD" w:rsidP="00970F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B953BD" w:rsidP="00970F2D">
            <w:pPr>
              <w:rPr>
                <w:b/>
              </w:rPr>
            </w:pPr>
          </w:p>
        </w:tc>
      </w:tr>
      <w:tr w:rsidR="005C0C2A" w:rsidTr="00345119">
        <w:tc>
          <w:tcPr>
            <w:tcW w:w="9576" w:type="dxa"/>
          </w:tcPr>
          <w:p w:rsidR="008423E4" w:rsidRPr="00A8133F" w:rsidRDefault="00B953BD" w:rsidP="00970F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53BD" w:rsidP="00970F2D"/>
          <w:p w:rsidR="000C2ADE" w:rsidRDefault="00B953BD" w:rsidP="00970F2D">
            <w:pPr>
              <w:pStyle w:val="Header"/>
              <w:jc w:val="both"/>
            </w:pPr>
            <w:r>
              <w:t>C.S.</w:t>
            </w:r>
            <w:r>
              <w:t xml:space="preserve">H.B. 2771 amends the Water Code to authorize the </w:t>
            </w:r>
            <w:r>
              <w:t>Texas Commission on Environmental Quality (TCEQ)</w:t>
            </w:r>
            <w:r>
              <w:t xml:space="preserve"> to </w:t>
            </w:r>
            <w:r w:rsidRPr="00B55F35">
              <w:t xml:space="preserve">issue permits for the discharge into water </w:t>
            </w:r>
            <w:r>
              <w:t>in</w:t>
            </w:r>
            <w:r w:rsidRPr="00B55F35">
              <w:t xml:space="preserve"> </w:t>
            </w:r>
            <w:r>
              <w:t>Texas</w:t>
            </w:r>
            <w:r w:rsidRPr="00B55F35">
              <w:t xml:space="preserve"> of produced water, hydrostatic test water, and gas plant effluent resulting from</w:t>
            </w:r>
            <w:r>
              <w:t xml:space="preserve"> certain </w:t>
            </w:r>
            <w:r>
              <w:t>activities</w:t>
            </w:r>
            <w:r w:rsidRPr="00B55F35">
              <w:t xml:space="preserve"> regulated by the </w:t>
            </w:r>
            <w:r>
              <w:t>Railroad Commission of Texas</w:t>
            </w:r>
            <w:r>
              <w:t xml:space="preserve"> (RRC)</w:t>
            </w:r>
            <w:r>
              <w:t xml:space="preserve"> on delegation to the commission of National Pollutan</w:t>
            </w:r>
            <w:r>
              <w:t>t Discharge Elimination System (</w:t>
            </w:r>
            <w:r w:rsidRPr="005268B2">
              <w:t>NPDES</w:t>
            </w:r>
            <w:r>
              <w:t>) authority for those discharges</w:t>
            </w:r>
            <w:r>
              <w:t>.</w:t>
            </w:r>
            <w:r>
              <w:t xml:space="preserve"> The bill requires </w:t>
            </w:r>
            <w:r>
              <w:t>such</w:t>
            </w:r>
            <w:r>
              <w:t xml:space="preserve"> </w:t>
            </w:r>
            <w:r>
              <w:t xml:space="preserve">discharge </w:t>
            </w:r>
            <w:r>
              <w:t xml:space="preserve">to </w:t>
            </w:r>
            <w:r w:rsidRPr="00B55F35">
              <w:t xml:space="preserve">meet the water quality standards established by </w:t>
            </w:r>
            <w:r>
              <w:t>TCEQ</w:t>
            </w:r>
            <w:r w:rsidRPr="00B55F35">
              <w:t>.</w:t>
            </w:r>
            <w:r>
              <w:t xml:space="preserve"> </w:t>
            </w:r>
          </w:p>
          <w:p w:rsidR="000C2ADE" w:rsidRDefault="00B953BD" w:rsidP="00970F2D">
            <w:pPr>
              <w:pStyle w:val="Header"/>
              <w:jc w:val="both"/>
            </w:pPr>
          </w:p>
          <w:p w:rsidR="000C2ADE" w:rsidRDefault="00B953BD" w:rsidP="00970F2D">
            <w:pPr>
              <w:pStyle w:val="Header"/>
              <w:jc w:val="both"/>
            </w:pPr>
            <w:r>
              <w:t xml:space="preserve">C.S.H.B. 2771 </w:t>
            </w:r>
            <w:r>
              <w:t>applies to an application for an authorization to discharge produced water, hyd</w:t>
            </w:r>
            <w:r>
              <w:t xml:space="preserve">rostatic test water, or gas plant effluent into water in Texas </w:t>
            </w:r>
            <w:r w:rsidRPr="005268B2">
              <w:t xml:space="preserve">that is pending on or after the effective date of delegation of NPDES permit authority for discharges of produced water, hydrostatic test water, and gas plant effluent to </w:t>
            </w:r>
            <w:r>
              <w:t>TCEQ</w:t>
            </w:r>
            <w:r w:rsidRPr="005268B2">
              <w:t xml:space="preserve"> by the U</w:t>
            </w:r>
            <w:r>
              <w:t>.</w:t>
            </w:r>
            <w:r w:rsidRPr="005268B2">
              <w:t>S</w:t>
            </w:r>
            <w:r>
              <w:t>.</w:t>
            </w:r>
            <w:r w:rsidRPr="005268B2">
              <w:t xml:space="preserve"> Envir</w:t>
            </w:r>
            <w:r w:rsidRPr="005268B2">
              <w:t>onmental Protection Agency</w:t>
            </w:r>
            <w:r>
              <w:t xml:space="preserve"> (EPA)</w:t>
            </w:r>
            <w:r w:rsidRPr="005268B2">
              <w:t xml:space="preserve"> under the Federal Water Pollution Control Act. </w:t>
            </w:r>
          </w:p>
          <w:p w:rsidR="000C2ADE" w:rsidRDefault="00B953BD" w:rsidP="00970F2D">
            <w:pPr>
              <w:pStyle w:val="Header"/>
              <w:jc w:val="both"/>
            </w:pPr>
          </w:p>
          <w:p w:rsidR="000C2ADE" w:rsidRDefault="00B953BD" w:rsidP="00970F2D">
            <w:pPr>
              <w:pStyle w:val="Header"/>
              <w:jc w:val="both"/>
            </w:pPr>
            <w:r>
              <w:t>C.S.H.B. 2771</w:t>
            </w:r>
            <w:r>
              <w:t xml:space="preserve">, on </w:t>
            </w:r>
            <w:r>
              <w:t>the</w:t>
            </w:r>
            <w:r>
              <w:t xml:space="preserve"> delegation</w:t>
            </w:r>
            <w:r>
              <w:t xml:space="preserve"> of such authority</w:t>
            </w:r>
            <w:r>
              <w:t xml:space="preserve">, transfers from the RRC to TCEQ </w:t>
            </w:r>
            <w:r>
              <w:t>the following:</w:t>
            </w:r>
          </w:p>
          <w:p w:rsidR="000C2ADE" w:rsidRDefault="00B953BD" w:rsidP="00970F2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powers, duties, functions, programs, and activities of the RRC relating </w:t>
            </w:r>
            <w:r>
              <w:t xml:space="preserve">to the regulation of discharges of produced water, hydrostatic test water, and gas plant effluent into water in Texas; </w:t>
            </w:r>
          </w:p>
          <w:p w:rsidR="000C2ADE" w:rsidRDefault="00B953BD" w:rsidP="00970F2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any obligations and contracts of the RRC that are directly related to implementing a power, duty, function, program, or activity transfe</w:t>
            </w:r>
            <w:r>
              <w:t xml:space="preserve">rred under </w:t>
            </w:r>
            <w:r>
              <w:t>t</w:t>
            </w:r>
            <w:r>
              <w:t xml:space="preserve">he bill's provisions; and </w:t>
            </w:r>
          </w:p>
          <w:p w:rsidR="00FB5742" w:rsidRDefault="00B953BD" w:rsidP="00970F2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all property and records in the custody of the RRC that are related to a power, duty, function, program, or activity transferred under the bill's provisions and all funds appropriated by the legislature for that power</w:t>
            </w:r>
            <w:r>
              <w:t xml:space="preserve">, duty, function, program, or activity. </w:t>
            </w:r>
          </w:p>
          <w:p w:rsidR="00FB5742" w:rsidRDefault="00B953BD" w:rsidP="00970F2D">
            <w:pPr>
              <w:pStyle w:val="Header"/>
              <w:jc w:val="both"/>
            </w:pPr>
            <w:r>
              <w:t xml:space="preserve">The bill requires the RRC to </w:t>
            </w:r>
            <w:r w:rsidRPr="003037D0">
              <w:t xml:space="preserve">continue to carry out its duties related to the regulation of </w:t>
            </w:r>
            <w:r>
              <w:t xml:space="preserve">such </w:t>
            </w:r>
            <w:r w:rsidRPr="003037D0">
              <w:t xml:space="preserve">discharges until </w:t>
            </w:r>
            <w:r>
              <w:t xml:space="preserve">such </w:t>
            </w:r>
            <w:r w:rsidRPr="003037D0">
              <w:t>delegation</w:t>
            </w:r>
            <w:r>
              <w:t xml:space="preserve">. The bill authorizes TCEQ to </w:t>
            </w:r>
            <w:r w:rsidRPr="003037D0">
              <w:t>carry out activities to ensure an orderly transfer of the</w:t>
            </w:r>
            <w:r w:rsidRPr="003037D0">
              <w:t xml:space="preserve"> powers, duties, functions, programs, and activities transferred under </w:t>
            </w:r>
            <w:r>
              <w:t>the bill</w:t>
            </w:r>
            <w:r w:rsidRPr="003037D0">
              <w:t>, including hiring additional employees and amending the memorandum of understanding by mutual agreement with the</w:t>
            </w:r>
            <w:r>
              <w:t xml:space="preserve"> RRC. </w:t>
            </w:r>
          </w:p>
          <w:p w:rsidR="00FB5742" w:rsidRDefault="00B953BD" w:rsidP="00970F2D">
            <w:pPr>
              <w:pStyle w:val="Header"/>
              <w:jc w:val="both"/>
            </w:pPr>
          </w:p>
          <w:p w:rsidR="008423E4" w:rsidRDefault="00B953BD" w:rsidP="00970F2D">
            <w:pPr>
              <w:pStyle w:val="Header"/>
              <w:jc w:val="both"/>
            </w:pPr>
            <w:r>
              <w:t xml:space="preserve">C.S.H.B. 2771 </w:t>
            </w:r>
            <w:r>
              <w:t xml:space="preserve">requires TCEQ, not later than September 1, 2020, to </w:t>
            </w:r>
            <w:r w:rsidRPr="003037D0">
              <w:t xml:space="preserve">submit to the </w:t>
            </w:r>
            <w:r>
              <w:t>EPA</w:t>
            </w:r>
            <w:r w:rsidRPr="003037D0">
              <w:t xml:space="preserve"> for approval a request to supplement or amend the Texas Pollutant Discharge Elimination System program to include delegation of NPDES permit authority for discharges of produced water, h</w:t>
            </w:r>
            <w:r w:rsidRPr="003037D0">
              <w:t>ydrostatic test water, and gas plant effluent.</w:t>
            </w:r>
          </w:p>
          <w:p w:rsidR="008423E4" w:rsidRPr="00835628" w:rsidRDefault="00B953BD" w:rsidP="00970F2D">
            <w:pPr>
              <w:rPr>
                <w:b/>
              </w:rPr>
            </w:pPr>
          </w:p>
        </w:tc>
      </w:tr>
      <w:tr w:rsidR="005C0C2A" w:rsidTr="00345119">
        <w:tc>
          <w:tcPr>
            <w:tcW w:w="9576" w:type="dxa"/>
          </w:tcPr>
          <w:p w:rsidR="008423E4" w:rsidRPr="00A8133F" w:rsidRDefault="00B953BD" w:rsidP="00970F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53BD" w:rsidP="00970F2D"/>
          <w:p w:rsidR="008423E4" w:rsidRPr="003624F2" w:rsidRDefault="00B953BD" w:rsidP="00970F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953BD" w:rsidP="00970F2D">
            <w:pPr>
              <w:rPr>
                <w:b/>
              </w:rPr>
            </w:pPr>
          </w:p>
        </w:tc>
      </w:tr>
      <w:tr w:rsidR="005C0C2A" w:rsidTr="00345119">
        <w:tc>
          <w:tcPr>
            <w:tcW w:w="9576" w:type="dxa"/>
          </w:tcPr>
          <w:p w:rsidR="007D0E62" w:rsidRDefault="00B953BD" w:rsidP="00970F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037D0" w:rsidRDefault="00B953BD" w:rsidP="00970F2D">
            <w:pPr>
              <w:jc w:val="both"/>
            </w:pPr>
          </w:p>
          <w:p w:rsidR="003037D0" w:rsidRDefault="00B953BD" w:rsidP="00970F2D">
            <w:pPr>
              <w:jc w:val="both"/>
            </w:pPr>
            <w:r>
              <w:t xml:space="preserve">While C.S.H.B. 2771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3037D0" w:rsidRDefault="00B953BD" w:rsidP="00970F2D">
            <w:pPr>
              <w:jc w:val="both"/>
            </w:pPr>
          </w:p>
          <w:p w:rsidR="00FB5742" w:rsidRDefault="00B953BD" w:rsidP="00970F2D">
            <w:pPr>
              <w:spacing w:before="120" w:after="120"/>
              <w:jc w:val="both"/>
            </w:pPr>
            <w:r>
              <w:t>The substitute includes</w:t>
            </w:r>
            <w:r>
              <w:t>:</w:t>
            </w:r>
            <w:r>
              <w:t xml:space="preserve"> </w:t>
            </w:r>
          </w:p>
          <w:p w:rsidR="003037D0" w:rsidRDefault="00B953BD" w:rsidP="00970F2D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procedural provisions relating to the transfer of </w:t>
            </w:r>
            <w:r>
              <w:t xml:space="preserve">certain </w:t>
            </w:r>
            <w:r w:rsidRPr="001A572E">
              <w:t>powers, du</w:t>
            </w:r>
            <w:r>
              <w:t>ties, functions, programs, activities, obligations, contracts, property, a</w:t>
            </w:r>
            <w:r>
              <w:t>nd re</w:t>
            </w:r>
            <w:r>
              <w:t>cords from the RRC to TCEQ;</w:t>
            </w:r>
          </w:p>
          <w:p w:rsidR="001A572E" w:rsidRDefault="00B953BD" w:rsidP="00970F2D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a requirement for TCEQ to submit to the EPA for approval a request</w:t>
            </w:r>
            <w:r>
              <w:t xml:space="preserve"> relating to supplementing or amending the </w:t>
            </w:r>
            <w:r w:rsidRPr="009E12C2">
              <w:t>Texas Pollutant Discharge Elimination System program</w:t>
            </w:r>
            <w:r>
              <w:t>; and</w:t>
            </w:r>
          </w:p>
          <w:p w:rsidR="001A572E" w:rsidRDefault="00B953BD" w:rsidP="00970F2D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conditions relating to NPDES</w:t>
            </w:r>
            <w:r>
              <w:t xml:space="preserve"> delegation of authority, including upon the applicability of the bill's provisions.</w:t>
            </w:r>
          </w:p>
          <w:p w:rsidR="003037D0" w:rsidRPr="003037D0" w:rsidRDefault="00B953BD" w:rsidP="00970F2D">
            <w:pPr>
              <w:jc w:val="both"/>
            </w:pPr>
          </w:p>
        </w:tc>
      </w:tr>
      <w:tr w:rsidR="005C0C2A" w:rsidTr="00345119">
        <w:tc>
          <w:tcPr>
            <w:tcW w:w="9576" w:type="dxa"/>
          </w:tcPr>
          <w:p w:rsidR="007D0E62" w:rsidRPr="009C1E9A" w:rsidRDefault="00B953BD" w:rsidP="00970F2D">
            <w:pPr>
              <w:rPr>
                <w:b/>
                <w:u w:val="single"/>
              </w:rPr>
            </w:pPr>
          </w:p>
        </w:tc>
      </w:tr>
      <w:tr w:rsidR="005C0C2A" w:rsidTr="00345119">
        <w:tc>
          <w:tcPr>
            <w:tcW w:w="9576" w:type="dxa"/>
          </w:tcPr>
          <w:p w:rsidR="007D0E62" w:rsidRPr="007D0E62" w:rsidRDefault="00B953BD" w:rsidP="00970F2D">
            <w:pPr>
              <w:jc w:val="both"/>
            </w:pPr>
          </w:p>
        </w:tc>
      </w:tr>
    </w:tbl>
    <w:p w:rsidR="008423E4" w:rsidRPr="00BE0E75" w:rsidRDefault="00B953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53B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53BD">
      <w:r>
        <w:separator/>
      </w:r>
    </w:p>
  </w:endnote>
  <w:endnote w:type="continuationSeparator" w:id="0">
    <w:p w:rsidR="00000000" w:rsidRDefault="00B9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0C2A" w:rsidTr="009C1E9A">
      <w:trPr>
        <w:cantSplit/>
      </w:trPr>
      <w:tc>
        <w:tcPr>
          <w:tcW w:w="0" w:type="pct"/>
        </w:tcPr>
        <w:p w:rsidR="00137D90" w:rsidRDefault="00B953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53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53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53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53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0C2A" w:rsidTr="009C1E9A">
      <w:trPr>
        <w:cantSplit/>
      </w:trPr>
      <w:tc>
        <w:tcPr>
          <w:tcW w:w="0" w:type="pct"/>
        </w:tcPr>
        <w:p w:rsidR="00EC379B" w:rsidRDefault="00B953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53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24851</w:t>
          </w:r>
        </w:p>
      </w:tc>
      <w:tc>
        <w:tcPr>
          <w:tcW w:w="2453" w:type="pct"/>
        </w:tcPr>
        <w:p w:rsidR="00EC379B" w:rsidRDefault="00B953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19.95.699</w:t>
          </w:r>
          <w:r>
            <w:fldChar w:fldCharType="end"/>
          </w:r>
        </w:p>
      </w:tc>
    </w:tr>
    <w:tr w:rsidR="005C0C2A" w:rsidTr="009C1E9A">
      <w:trPr>
        <w:cantSplit/>
      </w:trPr>
      <w:tc>
        <w:tcPr>
          <w:tcW w:w="0" w:type="pct"/>
        </w:tcPr>
        <w:p w:rsidR="00EC379B" w:rsidRDefault="00B953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53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22619</w:t>
          </w:r>
        </w:p>
      </w:tc>
      <w:tc>
        <w:tcPr>
          <w:tcW w:w="2453" w:type="pct"/>
        </w:tcPr>
        <w:p w:rsidR="00EC379B" w:rsidRDefault="00B953BD" w:rsidP="006D504F">
          <w:pPr>
            <w:pStyle w:val="Footer"/>
            <w:rPr>
              <w:rStyle w:val="PageNumber"/>
            </w:rPr>
          </w:pPr>
        </w:p>
        <w:p w:rsidR="00EC379B" w:rsidRDefault="00B953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0C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53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953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53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53BD">
      <w:r>
        <w:separator/>
      </w:r>
    </w:p>
  </w:footnote>
  <w:footnote w:type="continuationSeparator" w:id="0">
    <w:p w:rsidR="00000000" w:rsidRDefault="00B9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5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17F"/>
    <w:multiLevelType w:val="hybridMultilevel"/>
    <w:tmpl w:val="81065294"/>
    <w:lvl w:ilvl="0" w:tplc="29005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7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C9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E5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C6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A3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8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2A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02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C63"/>
    <w:multiLevelType w:val="hybridMultilevel"/>
    <w:tmpl w:val="A126B7A4"/>
    <w:lvl w:ilvl="0" w:tplc="C1322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E1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6B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85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2D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3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2A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01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85D"/>
    <w:multiLevelType w:val="hybridMultilevel"/>
    <w:tmpl w:val="ECE6E5F4"/>
    <w:lvl w:ilvl="0" w:tplc="E8FA3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61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0B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68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8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41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8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21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0A2F"/>
    <w:multiLevelType w:val="hybridMultilevel"/>
    <w:tmpl w:val="A52AD42E"/>
    <w:lvl w:ilvl="0" w:tplc="1A045A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7A45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6A0E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5E8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464D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7ECA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0403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7454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A893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215D6"/>
    <w:multiLevelType w:val="hybridMultilevel"/>
    <w:tmpl w:val="CBF2BBEC"/>
    <w:lvl w:ilvl="0" w:tplc="68B2F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9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08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24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0B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0A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2D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23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1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D1F57"/>
    <w:multiLevelType w:val="hybridMultilevel"/>
    <w:tmpl w:val="08E8F45C"/>
    <w:lvl w:ilvl="0" w:tplc="FB78CF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BA3B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DE22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482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5CD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F294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9EAE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8CF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30A9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A"/>
    <w:rsid w:val="005C0C2A"/>
    <w:rsid w:val="00B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B641BA-30C3-4A1D-A06A-60FB343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5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5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5F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F35"/>
    <w:rPr>
      <w:b/>
      <w:bCs/>
    </w:rPr>
  </w:style>
  <w:style w:type="paragraph" w:styleId="ListParagraph">
    <w:name w:val="List Paragraph"/>
    <w:basedOn w:val="Normal"/>
    <w:uiPriority w:val="34"/>
    <w:qFormat/>
    <w:rsid w:val="0030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3534</Characters>
  <Application>Microsoft Office Word</Application>
  <DocSecurity>4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HB02771 (Committee Report (Substituted))</vt:lpstr>
    </vt:vector>
  </TitlesOfParts>
  <Company>State of Texas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24851</dc:subject>
  <dc:creator>State of Texas</dc:creator>
  <dc:description>HB 2771 by Lozano-(H)Environmental Regulation (Substitute Document Number: 86R 22619)</dc:description>
  <cp:lastModifiedBy>Scotty Wimberley</cp:lastModifiedBy>
  <cp:revision>2</cp:revision>
  <cp:lastPrinted>2003-11-26T17:21:00Z</cp:lastPrinted>
  <dcterms:created xsi:type="dcterms:W3CDTF">2019-04-08T23:36:00Z</dcterms:created>
  <dcterms:modified xsi:type="dcterms:W3CDTF">2019-04-08T23:36:00Z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19.95.699</vt:lpwstr>
  </property>
</Properties>
</file>